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4CA5" w14:textId="2D1567A0" w:rsidR="003A3F41" w:rsidRPr="003D79D2" w:rsidRDefault="00707C1B" w:rsidP="00760C45">
      <w:pPr>
        <w:jc w:val="center"/>
        <w:rPr>
          <w:b/>
          <w:bCs/>
        </w:rPr>
      </w:pPr>
      <w:r>
        <w:rPr>
          <w:b/>
          <w:bCs/>
        </w:rPr>
        <w:t xml:space="preserve">Coagulopathy </w:t>
      </w:r>
      <w:r w:rsidR="0005282A">
        <w:rPr>
          <w:b/>
          <w:bCs/>
        </w:rPr>
        <w:t xml:space="preserve">of </w:t>
      </w:r>
      <w:r w:rsidR="00F879CF">
        <w:rPr>
          <w:b/>
          <w:bCs/>
        </w:rPr>
        <w:t>L</w:t>
      </w:r>
      <w:r w:rsidR="0005282A">
        <w:rPr>
          <w:b/>
          <w:bCs/>
        </w:rPr>
        <w:t xml:space="preserve">iver </w:t>
      </w:r>
      <w:r w:rsidR="00F879CF">
        <w:rPr>
          <w:b/>
          <w:bCs/>
        </w:rPr>
        <w:t>D</w:t>
      </w:r>
      <w:r w:rsidR="0005282A">
        <w:rPr>
          <w:b/>
          <w:bCs/>
        </w:rPr>
        <w:t xml:space="preserve">isease </w:t>
      </w:r>
      <w:r w:rsidR="0074206B">
        <w:rPr>
          <w:b/>
          <w:bCs/>
        </w:rPr>
        <w:t xml:space="preserve">is </w:t>
      </w:r>
      <w:r w:rsidR="00337970">
        <w:rPr>
          <w:b/>
          <w:bCs/>
        </w:rPr>
        <w:t>N</w:t>
      </w:r>
      <w:r w:rsidR="001B0D52">
        <w:rPr>
          <w:b/>
          <w:bCs/>
        </w:rPr>
        <w:t xml:space="preserve">ot </w:t>
      </w:r>
      <w:r w:rsidR="00A90534">
        <w:rPr>
          <w:b/>
          <w:bCs/>
        </w:rPr>
        <w:t xml:space="preserve">a </w:t>
      </w:r>
      <w:r w:rsidR="00337970">
        <w:rPr>
          <w:b/>
          <w:bCs/>
        </w:rPr>
        <w:t>C</w:t>
      </w:r>
      <w:r>
        <w:rPr>
          <w:b/>
          <w:bCs/>
        </w:rPr>
        <w:t>ontr</w:t>
      </w:r>
      <w:r w:rsidR="00A90534">
        <w:rPr>
          <w:b/>
          <w:bCs/>
        </w:rPr>
        <w:t>aindication</w:t>
      </w:r>
      <w:r>
        <w:rPr>
          <w:b/>
          <w:bCs/>
        </w:rPr>
        <w:t xml:space="preserve"> to </w:t>
      </w:r>
      <w:r w:rsidR="00337970">
        <w:rPr>
          <w:b/>
          <w:bCs/>
        </w:rPr>
        <w:t>N</w:t>
      </w:r>
      <w:r>
        <w:rPr>
          <w:b/>
          <w:bCs/>
        </w:rPr>
        <w:t xml:space="preserve">euraxial </w:t>
      </w:r>
      <w:r w:rsidR="00337970">
        <w:rPr>
          <w:b/>
          <w:bCs/>
        </w:rPr>
        <w:t>A</w:t>
      </w:r>
      <w:r>
        <w:rPr>
          <w:b/>
          <w:bCs/>
        </w:rPr>
        <w:t xml:space="preserve">nesthesia- </w:t>
      </w:r>
      <w:r w:rsidR="00337970">
        <w:rPr>
          <w:b/>
          <w:bCs/>
        </w:rPr>
        <w:t>A</w:t>
      </w:r>
      <w:r w:rsidR="00192CD3">
        <w:rPr>
          <w:b/>
          <w:bCs/>
        </w:rPr>
        <w:t xml:space="preserve"> </w:t>
      </w:r>
      <w:r w:rsidR="00337970">
        <w:rPr>
          <w:b/>
          <w:bCs/>
        </w:rPr>
        <w:t>C</w:t>
      </w:r>
      <w:r w:rsidR="00192CD3">
        <w:rPr>
          <w:b/>
          <w:bCs/>
        </w:rPr>
        <w:t xml:space="preserve">ase </w:t>
      </w:r>
      <w:r w:rsidR="00337970">
        <w:rPr>
          <w:b/>
          <w:bCs/>
        </w:rPr>
        <w:t>R</w:t>
      </w:r>
      <w:r w:rsidR="00192CD3">
        <w:rPr>
          <w:b/>
          <w:bCs/>
        </w:rPr>
        <w:t xml:space="preserve">eport in </w:t>
      </w:r>
      <w:r w:rsidR="00337970">
        <w:rPr>
          <w:b/>
          <w:bCs/>
        </w:rPr>
        <w:t>A</w:t>
      </w:r>
      <w:r w:rsidR="00361E7E">
        <w:rPr>
          <w:b/>
          <w:bCs/>
        </w:rPr>
        <w:t xml:space="preserve"> </w:t>
      </w:r>
      <w:r w:rsidR="00337970">
        <w:rPr>
          <w:b/>
          <w:bCs/>
        </w:rPr>
        <w:t>P</w:t>
      </w:r>
      <w:r w:rsidR="00192CD3">
        <w:rPr>
          <w:b/>
          <w:bCs/>
        </w:rPr>
        <w:t xml:space="preserve">atient </w:t>
      </w:r>
      <w:proofErr w:type="gramStart"/>
      <w:r w:rsidR="00337970">
        <w:rPr>
          <w:b/>
          <w:bCs/>
        </w:rPr>
        <w:t>W</w:t>
      </w:r>
      <w:r w:rsidR="00192CD3">
        <w:rPr>
          <w:b/>
          <w:bCs/>
        </w:rPr>
        <w:t>ith</w:t>
      </w:r>
      <w:proofErr w:type="gramEnd"/>
      <w:r w:rsidR="00192CD3">
        <w:rPr>
          <w:b/>
          <w:bCs/>
        </w:rPr>
        <w:t xml:space="preserve"> </w:t>
      </w:r>
      <w:r w:rsidR="00337970">
        <w:rPr>
          <w:b/>
          <w:bCs/>
        </w:rPr>
        <w:t>A</w:t>
      </w:r>
      <w:r w:rsidR="0035455D" w:rsidRPr="003D79D2">
        <w:rPr>
          <w:b/>
          <w:bCs/>
        </w:rPr>
        <w:t xml:space="preserve">cute </w:t>
      </w:r>
      <w:r w:rsidR="00337970">
        <w:rPr>
          <w:b/>
          <w:bCs/>
        </w:rPr>
        <w:t>F</w:t>
      </w:r>
      <w:r w:rsidR="0035455D" w:rsidRPr="003D79D2">
        <w:rPr>
          <w:b/>
          <w:bCs/>
        </w:rPr>
        <w:t xml:space="preserve">atty </w:t>
      </w:r>
      <w:r w:rsidR="00337970">
        <w:rPr>
          <w:b/>
          <w:bCs/>
        </w:rPr>
        <w:t>L</w:t>
      </w:r>
      <w:r w:rsidR="0035455D" w:rsidRPr="003D79D2">
        <w:rPr>
          <w:b/>
          <w:bCs/>
        </w:rPr>
        <w:t xml:space="preserve">iver </w:t>
      </w:r>
      <w:r w:rsidR="003721AF">
        <w:rPr>
          <w:b/>
          <w:bCs/>
        </w:rPr>
        <w:t xml:space="preserve">of </w:t>
      </w:r>
      <w:r w:rsidR="00337970">
        <w:rPr>
          <w:b/>
          <w:bCs/>
        </w:rPr>
        <w:t>P</w:t>
      </w:r>
      <w:r w:rsidR="003721AF">
        <w:rPr>
          <w:b/>
          <w:bCs/>
        </w:rPr>
        <w:t>regnancy</w:t>
      </w:r>
      <w:r w:rsidR="00984047">
        <w:rPr>
          <w:b/>
          <w:bCs/>
        </w:rPr>
        <w:t xml:space="preserve"> </w:t>
      </w:r>
    </w:p>
    <w:p w14:paraId="57E427A9" w14:textId="604F3931" w:rsidR="001E06EC" w:rsidRDefault="001E3948" w:rsidP="00760C45">
      <w:pPr>
        <w:jc w:val="center"/>
      </w:pPr>
      <w:r>
        <w:t xml:space="preserve">Jingxia Meng, Roni Mendonca, Michael </w:t>
      </w:r>
      <w:proofErr w:type="spellStart"/>
      <w:r>
        <w:t>Girshin</w:t>
      </w:r>
      <w:proofErr w:type="spellEnd"/>
      <w:r>
        <w:t>, Ejaz Khan</w:t>
      </w:r>
    </w:p>
    <w:p w14:paraId="5CF5F328" w14:textId="5E3D4891" w:rsidR="00DF3345" w:rsidRDefault="00DF3345" w:rsidP="00760C45">
      <w:pPr>
        <w:jc w:val="center"/>
      </w:pPr>
      <w:r>
        <w:t>Department of anesthesiology</w:t>
      </w:r>
    </w:p>
    <w:p w14:paraId="270B7707" w14:textId="258849AA" w:rsidR="001E3948" w:rsidRDefault="00EE3798" w:rsidP="00760C45">
      <w:pPr>
        <w:jc w:val="center"/>
      </w:pPr>
      <w:r>
        <w:t>Metropolitan</w:t>
      </w:r>
      <w:r w:rsidR="001E3948">
        <w:t xml:space="preserve"> Hospital, </w:t>
      </w:r>
      <w:r w:rsidR="00760C45">
        <w:t>1901 1</w:t>
      </w:r>
      <w:r w:rsidR="00760C45" w:rsidRPr="00760C45">
        <w:rPr>
          <w:vertAlign w:val="superscript"/>
        </w:rPr>
        <w:t>st</w:t>
      </w:r>
      <w:r w:rsidR="00760C45">
        <w:t xml:space="preserve"> Ave, New York</w:t>
      </w:r>
    </w:p>
    <w:p w14:paraId="524D159E" w14:textId="72432683" w:rsidR="000232B2" w:rsidRDefault="000232B2" w:rsidP="00760C45">
      <w:pPr>
        <w:jc w:val="center"/>
      </w:pPr>
    </w:p>
    <w:p w14:paraId="152960CF" w14:textId="77777777" w:rsidR="000232B2" w:rsidRDefault="000232B2" w:rsidP="00760C45">
      <w:pPr>
        <w:jc w:val="center"/>
      </w:pPr>
    </w:p>
    <w:p w14:paraId="435B5800" w14:textId="0722A474" w:rsidR="000232B2" w:rsidRDefault="000232B2">
      <w:pPr>
        <w:rPr>
          <w:b/>
          <w:bCs/>
        </w:rPr>
      </w:pPr>
      <w:r>
        <w:rPr>
          <w:b/>
          <w:bCs/>
        </w:rPr>
        <w:t>Abstract</w:t>
      </w:r>
    </w:p>
    <w:p w14:paraId="5E83F09C" w14:textId="1D59B4C6" w:rsidR="000232B2" w:rsidRDefault="000232B2">
      <w:pPr>
        <w:rPr>
          <w:b/>
          <w:bCs/>
        </w:rPr>
      </w:pPr>
    </w:p>
    <w:p w14:paraId="41F843EB" w14:textId="349E5EA8" w:rsidR="00852548" w:rsidRDefault="00852548" w:rsidP="00852548">
      <w:pPr>
        <w:spacing w:before="100" w:beforeAutospacing="1" w:after="100" w:afterAutospacing="1"/>
      </w:pPr>
      <w:r>
        <w:t xml:space="preserve">Neuraxial anesthesia techniques, including epidural, spinal, and combined spinal-epidural procedures, are generally contraindicated in patients with coagulopathy due to the increased risk of spinal epidural hematoma. However, for cesarean delivery, neuraxial anesthesia is preferred over general anesthesia (GA) due to its association with reduced maternal morbidity and mortality—primarily by avoiding airway complications and minimizing neonatal drug exposure. </w:t>
      </w:r>
    </w:p>
    <w:p w14:paraId="6C52630A" w14:textId="77777777" w:rsidR="00852548" w:rsidRDefault="00852548" w:rsidP="00852548">
      <w:pPr>
        <w:spacing w:before="100" w:beforeAutospacing="1" w:after="100" w:afterAutospacing="1"/>
      </w:pPr>
      <w:r>
        <w:t>We present a case of a patient with acute fatty liver of pregnancy (AFLP) and coagulopathy at admission who underwent spinal anesthesia without complications. It is likely not just by luck. Upon further literature review, we found that patients with liver disease are not at increased risk of bleeding; no increased risk of spinal hematoma; the decision to perform neuraxial anesthesia should not be based solely on coagulation lab results. A comprehensive patient history obtained from the patient, family, or medical records is often more informative than routine clotting screens.</w:t>
      </w:r>
    </w:p>
    <w:p w14:paraId="2FAE5A37" w14:textId="6EC3D7F3" w:rsidR="00852548" w:rsidRDefault="00852548" w:rsidP="00852548">
      <w:pPr>
        <w:spacing w:before="100" w:beforeAutospacing="1" w:after="100" w:afterAutospacing="1"/>
      </w:pPr>
      <w:r>
        <w:t>This case</w:t>
      </w:r>
      <w:r>
        <w:t xml:space="preserve"> </w:t>
      </w:r>
      <w:r>
        <w:rPr>
          <w:rFonts w:hint="eastAsia"/>
        </w:rPr>
        <w:t>sugg</w:t>
      </w:r>
      <w:r>
        <w:t>est</w:t>
      </w:r>
      <w:r w:rsidR="004A7AC7">
        <w:t>s</w:t>
      </w:r>
      <w:r>
        <w:t xml:space="preserve"> that f</w:t>
      </w:r>
      <w:r>
        <w:t>ocusing on correcting coagulopathy based solely on laboratory results before an emergent cesarean section can potentially delay the procedure, leading to worse maternal and neonatal outcomes.</w:t>
      </w:r>
      <w:r w:rsidR="00D248AE">
        <w:t xml:space="preserve"> Also </w:t>
      </w:r>
      <w:r>
        <w:t>highlights the need to reassess and update current guidelines by examining the predictive value of coagulation laboratory tests for bleeding risk.</w:t>
      </w:r>
      <w:r>
        <w:t xml:space="preserve"> </w:t>
      </w:r>
    </w:p>
    <w:p w14:paraId="21CD3D20" w14:textId="77777777" w:rsidR="00DA69BC" w:rsidRDefault="00DA69BC">
      <w:pPr>
        <w:rPr>
          <w:b/>
          <w:bCs/>
        </w:rPr>
      </w:pPr>
    </w:p>
    <w:p w14:paraId="59AEAE18" w14:textId="77777777" w:rsidR="00DA69BC" w:rsidRDefault="00DA69BC">
      <w:pPr>
        <w:rPr>
          <w:b/>
          <w:bCs/>
        </w:rPr>
      </w:pPr>
    </w:p>
    <w:p w14:paraId="2207284E" w14:textId="77777777" w:rsidR="00D72FE0" w:rsidRDefault="00D72FE0" w:rsidP="00D72FE0">
      <w:pPr>
        <w:spacing w:before="100" w:beforeAutospacing="1" w:after="100" w:afterAutospacing="1"/>
      </w:pPr>
      <w:r>
        <w:rPr>
          <w:rStyle w:val="Strong"/>
        </w:rPr>
        <w:t>Introduction</w:t>
      </w:r>
    </w:p>
    <w:p w14:paraId="07A20B96" w14:textId="77777777" w:rsidR="00D72FE0" w:rsidRDefault="00D72FE0" w:rsidP="00D72FE0">
      <w:pPr>
        <w:spacing w:before="100" w:beforeAutospacing="1" w:after="100" w:afterAutospacing="1"/>
      </w:pPr>
      <w:r>
        <w:t>Neuraxial anesthesia is a cornerstone of obstetric anesthesia, offering significant benefits over general anesthesia for cesarean deliveries, including reduced maternal morbidity and mortality. However, coagulopathy remains a well-known contraindication due to the risk of spinal epidural hematoma. This cautionary approach has become ingrained in clinical practice, often leading to the automatic exclusion of neuraxial techniques in patients with abnormal coagulation profiles. Yet, emerging evidence challenges the traditional reliance on coagulation tests alone to predict bleeding complications.</w:t>
      </w:r>
    </w:p>
    <w:p w14:paraId="6EA32566" w14:textId="77777777" w:rsidR="00D72FE0" w:rsidRDefault="00D72FE0" w:rsidP="00D72FE0">
      <w:pPr>
        <w:spacing w:before="100" w:beforeAutospacing="1" w:after="100" w:afterAutospacing="1"/>
      </w:pPr>
      <w:proofErr w:type="gramStart"/>
      <w:r>
        <w:t>In particular, liver</w:t>
      </w:r>
      <w:proofErr w:type="gramEnd"/>
      <w:r>
        <w:t xml:space="preserve"> disease, including acute fatty liver of pregnancy (AFLP), presents a unique clinical scenario where laboratory evidence of coagulopathy may not accurately reflect bleeding risk. We present a case of successful spinal anesthesia in a patient with AFLP and admission coagulopathy, highlighting the importance of individualized risk assessment. This case </w:t>
      </w:r>
      <w:r>
        <w:lastRenderedPageBreak/>
        <w:t>underscores the need to reevaluate current guidelines by focusing on clinical context and the predictive limitations of laboratory tests, potentially paving the way for safer and more effective neuraxial anesthesia in patients with liver dysfunction.</w:t>
      </w:r>
    </w:p>
    <w:p w14:paraId="6F03EAC7" w14:textId="77777777" w:rsidR="003A3F41" w:rsidRDefault="003A3F41" w:rsidP="00847F04"/>
    <w:p w14:paraId="0452B448" w14:textId="542B2CCC" w:rsidR="002C6A5D" w:rsidRDefault="002C6A5D" w:rsidP="00847F04">
      <w:pPr>
        <w:rPr>
          <w:b/>
          <w:bCs/>
        </w:rPr>
      </w:pPr>
      <w:r w:rsidRPr="000A0377">
        <w:rPr>
          <w:b/>
          <w:bCs/>
        </w:rPr>
        <w:t>Case presentation</w:t>
      </w:r>
    </w:p>
    <w:p w14:paraId="6B3AE277" w14:textId="77777777" w:rsidR="00C85AB7" w:rsidRDefault="00C85AB7" w:rsidP="00C85AB7">
      <w:pPr>
        <w:spacing w:before="100" w:beforeAutospacing="1" w:after="100" w:afterAutospacing="1"/>
      </w:pPr>
      <w:r>
        <w:t>A 41-year-old female, G10P3063, at 38 weeks of gestation presented with nausea, vomiting, and heartburn. On admission, her blood pressure was 140/109 mmHg, and her heart rate was 116 bpm. The initial physical examination was unremarkable. However, fetal monitoring revealed recurrent late decelerations with minimal variability, prompting an urgent cesarean delivery. Due to the emergent nature of the case, there was insufficient time to await lab results.</w:t>
      </w:r>
    </w:p>
    <w:p w14:paraId="4D0EE325" w14:textId="77777777" w:rsidR="00C85AB7" w:rsidRDefault="00C85AB7" w:rsidP="00C85AB7">
      <w:pPr>
        <w:spacing w:before="100" w:beforeAutospacing="1" w:after="100" w:afterAutospacing="1"/>
      </w:pPr>
      <w:r>
        <w:t>Given the patient’s active vomiting, spinal anesthesia was administered using 1.6 mL of hyperbaric bupivacaine. Shortly after the procedure, icteric sclerae were noted. A stillborn male fetus was delivered. The anesthesia team promptly placed an additional large-bore intravenous (IV) line in anticipation of possible blood transfusion. Estimated blood loss was 1300 mL, and 350 mL of blood was transfused. Emergent lab tests, including liver function tests (LFTs) and coagulation profiles, were obtained, and close neurological monitoring was initiated to assess for potential spinal or epidural hematoma.</w:t>
      </w:r>
    </w:p>
    <w:p w14:paraId="4F2CDC48" w14:textId="67D4A979" w:rsidR="00C85AB7" w:rsidRDefault="00C85AB7" w:rsidP="00C85AB7">
      <w:pPr>
        <w:spacing w:before="100" w:beforeAutospacing="1" w:after="100" w:afterAutospacing="1"/>
      </w:pPr>
      <w:r>
        <w:t xml:space="preserve">Laboratory results </w:t>
      </w:r>
      <w:r w:rsidR="000E176E">
        <w:t xml:space="preserve">(table 1) </w:t>
      </w:r>
      <w:r>
        <w:t xml:space="preserve">revealed transaminitis, prolonged PT/INR and </w:t>
      </w:r>
      <w:proofErr w:type="spellStart"/>
      <w:r>
        <w:t>aPTT</w:t>
      </w:r>
      <w:proofErr w:type="spellEnd"/>
      <w:r>
        <w:t xml:space="preserve">, acute kidney injury, and hypoglycemia, confirming the diagnosis of acute fatty liver of pregnancy (AFLP) based on the Swansea criteria. </w:t>
      </w:r>
      <w:r w:rsidR="005F41A3">
        <w:t xml:space="preserve">Liver ultrasound showed echogenic liver </w:t>
      </w:r>
      <w:r w:rsidR="00434274">
        <w:t>representing fatty liver infiltration versus diffuse parenchymal disease.</w:t>
      </w:r>
      <w:proofErr w:type="spellStart"/>
      <w:r w:rsidR="00434274">
        <w:t xml:space="preserve"> </w:t>
      </w:r>
      <w:proofErr w:type="spellEnd"/>
      <w:r>
        <w:t>No spinal or epidural hematoma developed. On postoperative day 4, the patient’s hemoglobin dropped to 6.4 g/dL, platelets decreased to 44 × 10⁹/L, and a hematoma developed within the abdominal rectus muscles. Dynamic lab test results are shown in Table 1. Over the following days, she developed pancreatitis, disseminated intravascular coagulation (DIC), and renal failure. Supportive care was provided, and she was discharged on postoperative day 13 in stable condition.</w:t>
      </w:r>
    </w:p>
    <w:p w14:paraId="0A5A8040" w14:textId="77777777" w:rsidR="000D0851" w:rsidRPr="000D0851" w:rsidRDefault="009B0A27" w:rsidP="000D0851">
      <w:r>
        <w:rPr>
          <w:noProof/>
        </w:rPr>
        <w:pict w14:anchorId="0B547D16">
          <v:rect id="_x0000_i1025" alt="" style="width:468pt;height:.05pt;mso-width-percent:0;mso-height-percent:0;mso-width-percent:0;mso-height-percent:0" o:hralign="center" o:hrstd="t" o:hr="t" fillcolor="#a0a0a0" stroked="f"/>
        </w:pict>
      </w:r>
    </w:p>
    <w:p w14:paraId="74DFC3B7" w14:textId="47643812" w:rsidR="00430D0E" w:rsidRDefault="00430D0E" w:rsidP="00847F04"/>
    <w:p w14:paraId="6AC7D64A" w14:textId="5FD21EB8" w:rsidR="00430D0E" w:rsidRPr="00847F04" w:rsidRDefault="003F7D6A" w:rsidP="00847F04">
      <w:r>
        <w:t>T</w:t>
      </w:r>
      <w:r>
        <w:rPr>
          <w:rFonts w:hint="eastAsia"/>
        </w:rPr>
        <w:t>able</w:t>
      </w:r>
      <w:r>
        <w:t xml:space="preserve"> 1: lab test results.</w:t>
      </w:r>
    </w:p>
    <w:tbl>
      <w:tblPr>
        <w:tblStyle w:val="TableGrid"/>
        <w:tblpPr w:leftFromText="180" w:rightFromText="180" w:vertAnchor="text" w:horzAnchor="margin" w:tblpXSpec="center" w:tblpY="966"/>
        <w:tblW w:w="11989" w:type="dxa"/>
        <w:tblLook w:val="04A0" w:firstRow="1" w:lastRow="0" w:firstColumn="1" w:lastColumn="0" w:noHBand="0" w:noVBand="1"/>
      </w:tblPr>
      <w:tblGrid>
        <w:gridCol w:w="1750"/>
        <w:gridCol w:w="1519"/>
        <w:gridCol w:w="1423"/>
        <w:gridCol w:w="1683"/>
        <w:gridCol w:w="1170"/>
        <w:gridCol w:w="2200"/>
        <w:gridCol w:w="2244"/>
      </w:tblGrid>
      <w:tr w:rsidR="00A3019B" w14:paraId="66774B62" w14:textId="77777777" w:rsidTr="00A3019B">
        <w:tc>
          <w:tcPr>
            <w:tcW w:w="1689" w:type="dxa"/>
          </w:tcPr>
          <w:p w14:paraId="5041A804" w14:textId="77777777" w:rsidR="00A3019B" w:rsidRDefault="00A3019B" w:rsidP="00A3019B"/>
        </w:tc>
        <w:tc>
          <w:tcPr>
            <w:tcW w:w="1546" w:type="dxa"/>
          </w:tcPr>
          <w:p w14:paraId="01D7882F" w14:textId="77777777" w:rsidR="00A3019B" w:rsidRDefault="00A3019B" w:rsidP="00A3019B">
            <w:r>
              <w:t xml:space="preserve">Baseline </w:t>
            </w:r>
          </w:p>
        </w:tc>
        <w:tc>
          <w:tcPr>
            <w:tcW w:w="1436" w:type="dxa"/>
          </w:tcPr>
          <w:p w14:paraId="449027AD" w14:textId="77777777" w:rsidR="00A3019B" w:rsidRDefault="00A3019B" w:rsidP="00A3019B">
            <w:r>
              <w:t>admission</w:t>
            </w:r>
          </w:p>
        </w:tc>
        <w:tc>
          <w:tcPr>
            <w:tcW w:w="1591" w:type="dxa"/>
          </w:tcPr>
          <w:p w14:paraId="481E6CD2" w14:textId="6E01490C" w:rsidR="001E59F0" w:rsidRDefault="001E59F0" w:rsidP="00A3019B">
            <w:r>
              <w:t xml:space="preserve">Day </w:t>
            </w:r>
            <w:r w:rsidR="00DC5A3E">
              <w:t>2</w:t>
            </w:r>
            <w:r>
              <w:t>-6</w:t>
            </w:r>
          </w:p>
          <w:p w14:paraId="694EDEF4" w14:textId="0CDAFCBC" w:rsidR="00A3019B" w:rsidRDefault="00A3019B" w:rsidP="00A3019B">
            <w:r>
              <w:t>Lowest/highest</w:t>
            </w:r>
          </w:p>
        </w:tc>
        <w:tc>
          <w:tcPr>
            <w:tcW w:w="1179" w:type="dxa"/>
          </w:tcPr>
          <w:p w14:paraId="11CC35F2" w14:textId="77777777" w:rsidR="00A3019B" w:rsidRDefault="00A3019B" w:rsidP="00A3019B">
            <w:r>
              <w:t>Day 7</w:t>
            </w:r>
          </w:p>
        </w:tc>
        <w:tc>
          <w:tcPr>
            <w:tcW w:w="2274" w:type="dxa"/>
          </w:tcPr>
          <w:p w14:paraId="623E4FB1" w14:textId="3BEE2E60" w:rsidR="00A3019B" w:rsidRDefault="00A3019B" w:rsidP="00A3019B">
            <w:r>
              <w:t>Day 10</w:t>
            </w:r>
          </w:p>
        </w:tc>
        <w:tc>
          <w:tcPr>
            <w:tcW w:w="2274" w:type="dxa"/>
          </w:tcPr>
          <w:p w14:paraId="0B841DC8" w14:textId="77777777" w:rsidR="00A3019B" w:rsidRDefault="00A3019B" w:rsidP="00A3019B">
            <w:r>
              <w:t>Normal reference value</w:t>
            </w:r>
          </w:p>
        </w:tc>
      </w:tr>
      <w:tr w:rsidR="00A3019B" w14:paraId="4E708FC1" w14:textId="77777777" w:rsidTr="00A3019B">
        <w:tc>
          <w:tcPr>
            <w:tcW w:w="1689" w:type="dxa"/>
          </w:tcPr>
          <w:p w14:paraId="0993E49E" w14:textId="77777777" w:rsidR="00A3019B" w:rsidRDefault="00A3019B" w:rsidP="00A3019B">
            <w:r>
              <w:t>AST</w:t>
            </w:r>
          </w:p>
        </w:tc>
        <w:tc>
          <w:tcPr>
            <w:tcW w:w="1546" w:type="dxa"/>
          </w:tcPr>
          <w:p w14:paraId="09B6381A" w14:textId="77777777" w:rsidR="00A3019B" w:rsidRDefault="00A3019B" w:rsidP="00A3019B">
            <w:r>
              <w:t>21 (7 months ago)</w:t>
            </w:r>
          </w:p>
        </w:tc>
        <w:tc>
          <w:tcPr>
            <w:tcW w:w="1436" w:type="dxa"/>
          </w:tcPr>
          <w:p w14:paraId="2E92E17D" w14:textId="77777777" w:rsidR="00A3019B" w:rsidRDefault="00A3019B" w:rsidP="00A3019B">
            <w:r>
              <w:t>532</w:t>
            </w:r>
          </w:p>
        </w:tc>
        <w:tc>
          <w:tcPr>
            <w:tcW w:w="1591" w:type="dxa"/>
          </w:tcPr>
          <w:p w14:paraId="53E13A0C" w14:textId="77777777" w:rsidR="00A3019B" w:rsidRDefault="00A3019B" w:rsidP="00A3019B">
            <w:r>
              <w:t>532</w:t>
            </w:r>
          </w:p>
        </w:tc>
        <w:tc>
          <w:tcPr>
            <w:tcW w:w="1179" w:type="dxa"/>
          </w:tcPr>
          <w:p w14:paraId="027CBCB3" w14:textId="77777777" w:rsidR="00A3019B" w:rsidRPr="00400BFA" w:rsidRDefault="00A3019B" w:rsidP="00A3019B">
            <w:r>
              <w:t>70</w:t>
            </w:r>
          </w:p>
        </w:tc>
        <w:tc>
          <w:tcPr>
            <w:tcW w:w="2274" w:type="dxa"/>
          </w:tcPr>
          <w:p w14:paraId="065FC672" w14:textId="78166D82" w:rsidR="00A3019B" w:rsidRPr="00400BFA" w:rsidRDefault="00A3019B" w:rsidP="00A3019B">
            <w:r>
              <w:t>49</w:t>
            </w:r>
          </w:p>
        </w:tc>
        <w:tc>
          <w:tcPr>
            <w:tcW w:w="2274" w:type="dxa"/>
          </w:tcPr>
          <w:p w14:paraId="234CA55C" w14:textId="77777777" w:rsidR="00A3019B" w:rsidRDefault="00A3019B" w:rsidP="00A3019B">
            <w:r w:rsidRPr="00400BFA">
              <w:t>0 - 32 U/L</w:t>
            </w:r>
          </w:p>
        </w:tc>
      </w:tr>
      <w:tr w:rsidR="00A3019B" w14:paraId="481113BE" w14:textId="77777777" w:rsidTr="00A3019B">
        <w:tc>
          <w:tcPr>
            <w:tcW w:w="1689" w:type="dxa"/>
          </w:tcPr>
          <w:p w14:paraId="4F47CBCC" w14:textId="77777777" w:rsidR="00A3019B" w:rsidRDefault="00A3019B" w:rsidP="00A3019B">
            <w:r>
              <w:t>ALT</w:t>
            </w:r>
          </w:p>
        </w:tc>
        <w:tc>
          <w:tcPr>
            <w:tcW w:w="1546" w:type="dxa"/>
          </w:tcPr>
          <w:p w14:paraId="106229D4" w14:textId="77777777" w:rsidR="00A3019B" w:rsidRDefault="00A3019B" w:rsidP="00A3019B">
            <w:r>
              <w:t>29</w:t>
            </w:r>
          </w:p>
        </w:tc>
        <w:tc>
          <w:tcPr>
            <w:tcW w:w="1436" w:type="dxa"/>
          </w:tcPr>
          <w:p w14:paraId="20EB5FE4" w14:textId="77777777" w:rsidR="00A3019B" w:rsidRDefault="00A3019B" w:rsidP="00A3019B">
            <w:r>
              <w:t>611</w:t>
            </w:r>
          </w:p>
        </w:tc>
        <w:tc>
          <w:tcPr>
            <w:tcW w:w="1591" w:type="dxa"/>
          </w:tcPr>
          <w:p w14:paraId="00CA7850" w14:textId="77777777" w:rsidR="00A3019B" w:rsidRDefault="00A3019B" w:rsidP="00A3019B">
            <w:r>
              <w:t>611</w:t>
            </w:r>
          </w:p>
        </w:tc>
        <w:tc>
          <w:tcPr>
            <w:tcW w:w="1179" w:type="dxa"/>
          </w:tcPr>
          <w:p w14:paraId="7276374D" w14:textId="77777777" w:rsidR="00A3019B" w:rsidRPr="00400BFA" w:rsidRDefault="00A3019B" w:rsidP="00A3019B">
            <w:r>
              <w:t>29</w:t>
            </w:r>
          </w:p>
        </w:tc>
        <w:tc>
          <w:tcPr>
            <w:tcW w:w="2274" w:type="dxa"/>
          </w:tcPr>
          <w:p w14:paraId="3C34858D" w14:textId="7043F41B" w:rsidR="00A3019B" w:rsidRPr="00400BFA" w:rsidRDefault="00A3019B" w:rsidP="00A3019B">
            <w:r>
              <w:t>31</w:t>
            </w:r>
          </w:p>
        </w:tc>
        <w:tc>
          <w:tcPr>
            <w:tcW w:w="2274" w:type="dxa"/>
          </w:tcPr>
          <w:p w14:paraId="45F44BE9" w14:textId="77777777" w:rsidR="00A3019B" w:rsidRDefault="00A3019B" w:rsidP="00A3019B">
            <w:r w:rsidRPr="00400BFA">
              <w:t>0 - 31 U/L</w:t>
            </w:r>
          </w:p>
        </w:tc>
      </w:tr>
      <w:tr w:rsidR="00A3019B" w14:paraId="032A36E9" w14:textId="77777777" w:rsidTr="00A3019B">
        <w:tc>
          <w:tcPr>
            <w:tcW w:w="1689" w:type="dxa"/>
          </w:tcPr>
          <w:p w14:paraId="522F41A7" w14:textId="77777777" w:rsidR="00A3019B" w:rsidRDefault="00A3019B" w:rsidP="00A3019B">
            <w:r>
              <w:t>ALK PHOS</w:t>
            </w:r>
          </w:p>
        </w:tc>
        <w:tc>
          <w:tcPr>
            <w:tcW w:w="1546" w:type="dxa"/>
          </w:tcPr>
          <w:p w14:paraId="79F69781" w14:textId="77777777" w:rsidR="00A3019B" w:rsidRDefault="00A3019B" w:rsidP="00A3019B">
            <w:r>
              <w:t>87</w:t>
            </w:r>
          </w:p>
        </w:tc>
        <w:tc>
          <w:tcPr>
            <w:tcW w:w="1436" w:type="dxa"/>
          </w:tcPr>
          <w:p w14:paraId="041F2907" w14:textId="77777777" w:rsidR="00A3019B" w:rsidRDefault="00A3019B" w:rsidP="00A3019B">
            <w:r>
              <w:t>545</w:t>
            </w:r>
          </w:p>
        </w:tc>
        <w:tc>
          <w:tcPr>
            <w:tcW w:w="1591" w:type="dxa"/>
          </w:tcPr>
          <w:p w14:paraId="3A759A14" w14:textId="77777777" w:rsidR="00A3019B" w:rsidRDefault="00A3019B" w:rsidP="00A3019B">
            <w:r>
              <w:t>545</w:t>
            </w:r>
          </w:p>
        </w:tc>
        <w:tc>
          <w:tcPr>
            <w:tcW w:w="1179" w:type="dxa"/>
          </w:tcPr>
          <w:p w14:paraId="4CA4D55F" w14:textId="77777777" w:rsidR="00A3019B" w:rsidRPr="00400BFA" w:rsidRDefault="00A3019B" w:rsidP="00A3019B">
            <w:r>
              <w:t>94</w:t>
            </w:r>
          </w:p>
        </w:tc>
        <w:tc>
          <w:tcPr>
            <w:tcW w:w="2274" w:type="dxa"/>
          </w:tcPr>
          <w:p w14:paraId="6A9A6AC3" w14:textId="273DC6A1" w:rsidR="00A3019B" w:rsidRPr="00400BFA" w:rsidRDefault="00A3019B" w:rsidP="00A3019B">
            <w:r>
              <w:t>114</w:t>
            </w:r>
          </w:p>
        </w:tc>
        <w:tc>
          <w:tcPr>
            <w:tcW w:w="2274" w:type="dxa"/>
          </w:tcPr>
          <w:p w14:paraId="40FE9F18" w14:textId="77777777" w:rsidR="00A3019B" w:rsidRDefault="00A3019B" w:rsidP="00A3019B">
            <w:r w:rsidRPr="00400BFA">
              <w:t>35 - 104 U/L</w:t>
            </w:r>
          </w:p>
        </w:tc>
      </w:tr>
      <w:tr w:rsidR="00A3019B" w14:paraId="3CC15CA4" w14:textId="77777777" w:rsidTr="00A3019B">
        <w:tc>
          <w:tcPr>
            <w:tcW w:w="1689" w:type="dxa"/>
          </w:tcPr>
          <w:p w14:paraId="05893E4C" w14:textId="77777777" w:rsidR="00A3019B" w:rsidRDefault="00A3019B" w:rsidP="00A3019B">
            <w:r>
              <w:t>Total/direct bilirubin</w:t>
            </w:r>
          </w:p>
        </w:tc>
        <w:tc>
          <w:tcPr>
            <w:tcW w:w="1546" w:type="dxa"/>
          </w:tcPr>
          <w:p w14:paraId="7D279F2F" w14:textId="77777777" w:rsidR="00A3019B" w:rsidRDefault="00A3019B" w:rsidP="00A3019B">
            <w:r>
              <w:t>0.4/NA</w:t>
            </w:r>
          </w:p>
        </w:tc>
        <w:tc>
          <w:tcPr>
            <w:tcW w:w="1436" w:type="dxa"/>
          </w:tcPr>
          <w:p w14:paraId="7412BA09" w14:textId="77777777" w:rsidR="00A3019B" w:rsidRDefault="00A3019B" w:rsidP="00A3019B">
            <w:r>
              <w:t>6.0/4.0</w:t>
            </w:r>
          </w:p>
        </w:tc>
        <w:tc>
          <w:tcPr>
            <w:tcW w:w="1591" w:type="dxa"/>
          </w:tcPr>
          <w:p w14:paraId="0D77D273" w14:textId="77777777" w:rsidR="00A3019B" w:rsidRDefault="00A3019B" w:rsidP="00A3019B">
            <w:r>
              <w:t>10.2/6.6</w:t>
            </w:r>
          </w:p>
        </w:tc>
        <w:tc>
          <w:tcPr>
            <w:tcW w:w="1179" w:type="dxa"/>
          </w:tcPr>
          <w:p w14:paraId="48D13DE6" w14:textId="77777777" w:rsidR="00A3019B" w:rsidRPr="00400BFA" w:rsidRDefault="00A3019B" w:rsidP="00A3019B">
            <w:r>
              <w:t>7.9/4.6</w:t>
            </w:r>
          </w:p>
        </w:tc>
        <w:tc>
          <w:tcPr>
            <w:tcW w:w="2274" w:type="dxa"/>
          </w:tcPr>
          <w:p w14:paraId="1E407C45" w14:textId="4DCA835E" w:rsidR="00A3019B" w:rsidRPr="00400BFA" w:rsidRDefault="00A3019B" w:rsidP="00A3019B">
            <w:r>
              <w:t>5.9/2.8</w:t>
            </w:r>
          </w:p>
        </w:tc>
        <w:tc>
          <w:tcPr>
            <w:tcW w:w="2274" w:type="dxa"/>
          </w:tcPr>
          <w:p w14:paraId="2AEC2322" w14:textId="77777777" w:rsidR="00A3019B" w:rsidRPr="00400BFA" w:rsidRDefault="00A3019B" w:rsidP="00A3019B">
            <w:proofErr w:type="gramStart"/>
            <w:r w:rsidRPr="00400BFA">
              <w:t>Total  Bilirubin</w:t>
            </w:r>
            <w:proofErr w:type="gramEnd"/>
            <w:r w:rsidRPr="00400BFA">
              <w:br/>
              <w:t>0.0 - 1.2 mg/dL</w:t>
            </w:r>
          </w:p>
          <w:p w14:paraId="400C8E71" w14:textId="77777777" w:rsidR="00A3019B" w:rsidRPr="00400BFA" w:rsidRDefault="00A3019B" w:rsidP="00A3019B">
            <w:pPr>
              <w:autoSpaceDE w:val="0"/>
              <w:autoSpaceDN w:val="0"/>
              <w:adjustRightInd w:val="0"/>
            </w:pPr>
            <w:r w:rsidRPr="00400BFA">
              <w:lastRenderedPageBreak/>
              <w:t>Direct Bilirubin</w:t>
            </w:r>
            <w:r w:rsidRPr="00400BFA">
              <w:br/>
              <w:t>0.0 - 0.3 mg/dL</w:t>
            </w:r>
          </w:p>
        </w:tc>
      </w:tr>
      <w:tr w:rsidR="00A3019B" w14:paraId="77EB13BD" w14:textId="77777777" w:rsidTr="00A3019B">
        <w:tc>
          <w:tcPr>
            <w:tcW w:w="1689" w:type="dxa"/>
          </w:tcPr>
          <w:p w14:paraId="610BE661" w14:textId="77777777" w:rsidR="00A3019B" w:rsidRDefault="00A3019B" w:rsidP="00A3019B">
            <w:r>
              <w:lastRenderedPageBreak/>
              <w:t>Total protein/albumin</w:t>
            </w:r>
          </w:p>
        </w:tc>
        <w:tc>
          <w:tcPr>
            <w:tcW w:w="1546" w:type="dxa"/>
          </w:tcPr>
          <w:p w14:paraId="2091F92C" w14:textId="77777777" w:rsidR="00A3019B" w:rsidRDefault="00A3019B" w:rsidP="00A3019B">
            <w:r>
              <w:t>7.1/4.4</w:t>
            </w:r>
          </w:p>
        </w:tc>
        <w:tc>
          <w:tcPr>
            <w:tcW w:w="1436" w:type="dxa"/>
          </w:tcPr>
          <w:p w14:paraId="1B10CFF9" w14:textId="77777777" w:rsidR="00A3019B" w:rsidRDefault="00A3019B" w:rsidP="00A3019B">
            <w:r>
              <w:t>7.0/3.8</w:t>
            </w:r>
          </w:p>
        </w:tc>
        <w:tc>
          <w:tcPr>
            <w:tcW w:w="1591" w:type="dxa"/>
          </w:tcPr>
          <w:p w14:paraId="6F0745C4" w14:textId="77777777" w:rsidR="00A3019B" w:rsidRDefault="00A3019B" w:rsidP="00A3019B">
            <w:r>
              <w:t>5.1/2.0</w:t>
            </w:r>
          </w:p>
        </w:tc>
        <w:tc>
          <w:tcPr>
            <w:tcW w:w="1179" w:type="dxa"/>
          </w:tcPr>
          <w:p w14:paraId="050C66E5" w14:textId="77777777" w:rsidR="00A3019B" w:rsidRPr="008C6695" w:rsidRDefault="00A3019B" w:rsidP="00A3019B">
            <w:r>
              <w:t>5.3/3.5</w:t>
            </w:r>
          </w:p>
        </w:tc>
        <w:tc>
          <w:tcPr>
            <w:tcW w:w="2274" w:type="dxa"/>
          </w:tcPr>
          <w:p w14:paraId="47D407E1" w14:textId="5E9D1AC6" w:rsidR="00A3019B" w:rsidRPr="008C6695" w:rsidRDefault="00A3019B" w:rsidP="00A3019B">
            <w:r>
              <w:t>7.1/5.3</w:t>
            </w:r>
          </w:p>
        </w:tc>
        <w:tc>
          <w:tcPr>
            <w:tcW w:w="2274" w:type="dxa"/>
          </w:tcPr>
          <w:p w14:paraId="2C3F0E6B" w14:textId="77777777" w:rsidR="00A3019B" w:rsidRPr="008C6695" w:rsidRDefault="00A3019B" w:rsidP="00A3019B">
            <w:r w:rsidRPr="008C6695">
              <w:t>Total Protein</w:t>
            </w:r>
            <w:r w:rsidRPr="008C6695">
              <w:br/>
              <w:t>6.6 - 8.7 g/dL</w:t>
            </w:r>
          </w:p>
          <w:p w14:paraId="0A18E3E2" w14:textId="77777777" w:rsidR="00A3019B" w:rsidRDefault="00A3019B" w:rsidP="00A3019B">
            <w:r w:rsidRPr="008C6695">
              <w:t>Albumin</w:t>
            </w:r>
            <w:r w:rsidRPr="008C6695">
              <w:br/>
              <w:t>3.5 - 5.2 mg/dL</w:t>
            </w:r>
          </w:p>
        </w:tc>
      </w:tr>
      <w:tr w:rsidR="00A3019B" w14:paraId="45F43845" w14:textId="77777777" w:rsidTr="00A3019B">
        <w:tc>
          <w:tcPr>
            <w:tcW w:w="1689" w:type="dxa"/>
          </w:tcPr>
          <w:p w14:paraId="1061342C" w14:textId="77777777" w:rsidR="00A3019B" w:rsidRDefault="00A3019B" w:rsidP="00A3019B">
            <w:r>
              <w:t>Creatinine</w:t>
            </w:r>
          </w:p>
        </w:tc>
        <w:tc>
          <w:tcPr>
            <w:tcW w:w="1546" w:type="dxa"/>
          </w:tcPr>
          <w:p w14:paraId="7C1B2EDB" w14:textId="77777777" w:rsidR="00A3019B" w:rsidRDefault="00A3019B" w:rsidP="00A3019B">
            <w:r>
              <w:t>0.67</w:t>
            </w:r>
          </w:p>
        </w:tc>
        <w:tc>
          <w:tcPr>
            <w:tcW w:w="1436" w:type="dxa"/>
          </w:tcPr>
          <w:p w14:paraId="39E19493" w14:textId="77777777" w:rsidR="00A3019B" w:rsidRDefault="00A3019B" w:rsidP="00A3019B">
            <w:r>
              <w:t>3.7</w:t>
            </w:r>
          </w:p>
        </w:tc>
        <w:tc>
          <w:tcPr>
            <w:tcW w:w="1591" w:type="dxa"/>
          </w:tcPr>
          <w:p w14:paraId="1E0D9F8D" w14:textId="77777777" w:rsidR="00A3019B" w:rsidRDefault="00A3019B" w:rsidP="00A3019B">
            <w:r>
              <w:t>6.8</w:t>
            </w:r>
          </w:p>
        </w:tc>
        <w:tc>
          <w:tcPr>
            <w:tcW w:w="1179" w:type="dxa"/>
          </w:tcPr>
          <w:p w14:paraId="0BAE9707" w14:textId="77777777" w:rsidR="00A3019B" w:rsidRPr="008C6695" w:rsidRDefault="00A3019B" w:rsidP="00A3019B">
            <w:r>
              <w:t>2.2</w:t>
            </w:r>
          </w:p>
        </w:tc>
        <w:tc>
          <w:tcPr>
            <w:tcW w:w="2274" w:type="dxa"/>
          </w:tcPr>
          <w:p w14:paraId="43E4A0DD" w14:textId="45DB2F3E" w:rsidR="00A3019B" w:rsidRPr="008C6695" w:rsidRDefault="00A3019B" w:rsidP="00A3019B">
            <w:r>
              <w:t>1.1</w:t>
            </w:r>
          </w:p>
        </w:tc>
        <w:tc>
          <w:tcPr>
            <w:tcW w:w="2274" w:type="dxa"/>
          </w:tcPr>
          <w:p w14:paraId="34FC1667" w14:textId="77777777" w:rsidR="00A3019B" w:rsidRDefault="00A3019B" w:rsidP="00A3019B">
            <w:r w:rsidRPr="008C6695">
              <w:t>0.7 - 0.9 mg/dL</w:t>
            </w:r>
          </w:p>
        </w:tc>
      </w:tr>
      <w:tr w:rsidR="00A3019B" w14:paraId="4429BD5E" w14:textId="77777777" w:rsidTr="00A3019B">
        <w:tc>
          <w:tcPr>
            <w:tcW w:w="1689" w:type="dxa"/>
          </w:tcPr>
          <w:p w14:paraId="451F9A83" w14:textId="77777777" w:rsidR="00A3019B" w:rsidRDefault="00A3019B" w:rsidP="00A3019B">
            <w:r>
              <w:t>Hemoglobin</w:t>
            </w:r>
          </w:p>
        </w:tc>
        <w:tc>
          <w:tcPr>
            <w:tcW w:w="1546" w:type="dxa"/>
          </w:tcPr>
          <w:p w14:paraId="68777F8F" w14:textId="77777777" w:rsidR="00A3019B" w:rsidRDefault="00A3019B" w:rsidP="00A3019B">
            <w:r>
              <w:t>14.1</w:t>
            </w:r>
          </w:p>
        </w:tc>
        <w:tc>
          <w:tcPr>
            <w:tcW w:w="1436" w:type="dxa"/>
          </w:tcPr>
          <w:p w14:paraId="4B658756" w14:textId="77777777" w:rsidR="00A3019B" w:rsidRDefault="00A3019B" w:rsidP="00A3019B">
            <w:r>
              <w:t>17.9</w:t>
            </w:r>
          </w:p>
        </w:tc>
        <w:tc>
          <w:tcPr>
            <w:tcW w:w="1591" w:type="dxa"/>
          </w:tcPr>
          <w:p w14:paraId="1105C7C9" w14:textId="77777777" w:rsidR="00A3019B" w:rsidRDefault="00A3019B" w:rsidP="00A3019B">
            <w:r>
              <w:t>6.4</w:t>
            </w:r>
          </w:p>
        </w:tc>
        <w:tc>
          <w:tcPr>
            <w:tcW w:w="1179" w:type="dxa"/>
          </w:tcPr>
          <w:p w14:paraId="25CE1FD2" w14:textId="77777777" w:rsidR="00A3019B" w:rsidRPr="008C6695" w:rsidRDefault="00A3019B" w:rsidP="00A3019B">
            <w:r>
              <w:t>9.0</w:t>
            </w:r>
          </w:p>
        </w:tc>
        <w:tc>
          <w:tcPr>
            <w:tcW w:w="2274" w:type="dxa"/>
          </w:tcPr>
          <w:p w14:paraId="6FA77ECC" w14:textId="19B2694F" w:rsidR="00A3019B" w:rsidRPr="008C6695" w:rsidRDefault="00A3019B" w:rsidP="00A3019B">
            <w:r>
              <w:t>11.1</w:t>
            </w:r>
          </w:p>
        </w:tc>
        <w:tc>
          <w:tcPr>
            <w:tcW w:w="2274" w:type="dxa"/>
          </w:tcPr>
          <w:p w14:paraId="07B84B34" w14:textId="77777777" w:rsidR="00A3019B" w:rsidRDefault="00A3019B" w:rsidP="00A3019B">
            <w:r w:rsidRPr="008C6695">
              <w:t>12.0 - 16.0 g/dL</w:t>
            </w:r>
          </w:p>
        </w:tc>
      </w:tr>
      <w:tr w:rsidR="00A3019B" w14:paraId="3BC02C8B" w14:textId="77777777" w:rsidTr="00A3019B">
        <w:tc>
          <w:tcPr>
            <w:tcW w:w="1689" w:type="dxa"/>
          </w:tcPr>
          <w:p w14:paraId="105290D3" w14:textId="77777777" w:rsidR="00A3019B" w:rsidRDefault="00A3019B" w:rsidP="00A3019B">
            <w:r>
              <w:t>platelet</w:t>
            </w:r>
          </w:p>
        </w:tc>
        <w:tc>
          <w:tcPr>
            <w:tcW w:w="1546" w:type="dxa"/>
          </w:tcPr>
          <w:p w14:paraId="4A8AA1AE" w14:textId="77777777" w:rsidR="00A3019B" w:rsidRDefault="00A3019B" w:rsidP="00A3019B">
            <w:r>
              <w:t>313</w:t>
            </w:r>
          </w:p>
        </w:tc>
        <w:tc>
          <w:tcPr>
            <w:tcW w:w="1436" w:type="dxa"/>
          </w:tcPr>
          <w:p w14:paraId="43695E70" w14:textId="77777777" w:rsidR="00A3019B" w:rsidRDefault="00A3019B" w:rsidP="00A3019B">
            <w:r>
              <w:t>188</w:t>
            </w:r>
          </w:p>
        </w:tc>
        <w:tc>
          <w:tcPr>
            <w:tcW w:w="1591" w:type="dxa"/>
          </w:tcPr>
          <w:p w14:paraId="3C58BA71" w14:textId="77777777" w:rsidR="00A3019B" w:rsidRDefault="00A3019B" w:rsidP="00A3019B">
            <w:r>
              <w:t>44</w:t>
            </w:r>
          </w:p>
        </w:tc>
        <w:tc>
          <w:tcPr>
            <w:tcW w:w="1179" w:type="dxa"/>
          </w:tcPr>
          <w:p w14:paraId="32F54D07" w14:textId="77777777" w:rsidR="00A3019B" w:rsidRPr="0093402F" w:rsidRDefault="00A3019B" w:rsidP="00A3019B">
            <w:r>
              <w:t>44</w:t>
            </w:r>
          </w:p>
        </w:tc>
        <w:tc>
          <w:tcPr>
            <w:tcW w:w="2274" w:type="dxa"/>
          </w:tcPr>
          <w:p w14:paraId="0798E66E" w14:textId="703EC5B7" w:rsidR="00A3019B" w:rsidRPr="0093402F" w:rsidRDefault="00A3019B" w:rsidP="00A3019B">
            <w:r>
              <w:t>146</w:t>
            </w:r>
          </w:p>
        </w:tc>
        <w:tc>
          <w:tcPr>
            <w:tcW w:w="2274" w:type="dxa"/>
          </w:tcPr>
          <w:p w14:paraId="0FCCB81F" w14:textId="77777777" w:rsidR="00A3019B" w:rsidRDefault="00A3019B" w:rsidP="00A3019B">
            <w:r w:rsidRPr="0093402F">
              <w:t>150 - 450 x10(3)/</w:t>
            </w:r>
            <w:proofErr w:type="spellStart"/>
            <w:r w:rsidRPr="0093402F">
              <w:t>mcL</w:t>
            </w:r>
            <w:proofErr w:type="spellEnd"/>
          </w:p>
        </w:tc>
      </w:tr>
      <w:tr w:rsidR="00CA13B4" w14:paraId="46661652" w14:textId="77777777" w:rsidTr="00A3019B">
        <w:tc>
          <w:tcPr>
            <w:tcW w:w="1689" w:type="dxa"/>
          </w:tcPr>
          <w:p w14:paraId="1B8618C2" w14:textId="32ADB310" w:rsidR="00CA13B4" w:rsidRDefault="00CA13B4" w:rsidP="00A3019B">
            <w:proofErr w:type="spellStart"/>
            <w:r>
              <w:t>aPTT</w:t>
            </w:r>
            <w:proofErr w:type="spellEnd"/>
          </w:p>
        </w:tc>
        <w:tc>
          <w:tcPr>
            <w:tcW w:w="1546" w:type="dxa"/>
          </w:tcPr>
          <w:p w14:paraId="0270872C" w14:textId="1E5B72BC" w:rsidR="00CA13B4" w:rsidRDefault="00CA13B4" w:rsidP="00A3019B">
            <w:r>
              <w:t>N/A</w:t>
            </w:r>
          </w:p>
        </w:tc>
        <w:tc>
          <w:tcPr>
            <w:tcW w:w="1436" w:type="dxa"/>
          </w:tcPr>
          <w:p w14:paraId="31FE5B68" w14:textId="6D2210CF" w:rsidR="00CA13B4" w:rsidRDefault="00CA13B4" w:rsidP="00A3019B">
            <w:r>
              <w:t>53.6</w:t>
            </w:r>
          </w:p>
        </w:tc>
        <w:tc>
          <w:tcPr>
            <w:tcW w:w="1591" w:type="dxa"/>
          </w:tcPr>
          <w:p w14:paraId="06057602" w14:textId="763FC8DC" w:rsidR="00CA13B4" w:rsidRDefault="002F7F12" w:rsidP="00A3019B">
            <w:r>
              <w:t>53.6</w:t>
            </w:r>
          </w:p>
        </w:tc>
        <w:tc>
          <w:tcPr>
            <w:tcW w:w="1179" w:type="dxa"/>
          </w:tcPr>
          <w:p w14:paraId="1A8CF150" w14:textId="5E2C6DD5" w:rsidR="00CA13B4" w:rsidRDefault="002C10BC" w:rsidP="00A3019B">
            <w:r>
              <w:t>30.7</w:t>
            </w:r>
          </w:p>
        </w:tc>
        <w:tc>
          <w:tcPr>
            <w:tcW w:w="2274" w:type="dxa"/>
          </w:tcPr>
          <w:p w14:paraId="2C124196" w14:textId="677BA7A5" w:rsidR="00CA13B4" w:rsidRDefault="006744C3" w:rsidP="00A3019B">
            <w:r>
              <w:t>26.7</w:t>
            </w:r>
          </w:p>
        </w:tc>
        <w:tc>
          <w:tcPr>
            <w:tcW w:w="2274" w:type="dxa"/>
          </w:tcPr>
          <w:p w14:paraId="536AE1D2" w14:textId="6E56BF4E" w:rsidR="00CA13B4" w:rsidRPr="0093402F" w:rsidRDefault="00820FDC" w:rsidP="00A3019B">
            <w:r>
              <w:t>25.1-36.5 seconds</w:t>
            </w:r>
          </w:p>
        </w:tc>
      </w:tr>
      <w:tr w:rsidR="00A3019B" w14:paraId="649DC5E8" w14:textId="77777777" w:rsidTr="00A3019B">
        <w:tc>
          <w:tcPr>
            <w:tcW w:w="1689" w:type="dxa"/>
          </w:tcPr>
          <w:p w14:paraId="56799B93" w14:textId="77777777" w:rsidR="00A3019B" w:rsidRDefault="00A3019B" w:rsidP="00A3019B">
            <w:r>
              <w:t>PT/INR</w:t>
            </w:r>
          </w:p>
        </w:tc>
        <w:tc>
          <w:tcPr>
            <w:tcW w:w="1546" w:type="dxa"/>
          </w:tcPr>
          <w:p w14:paraId="12523065" w14:textId="77777777" w:rsidR="00A3019B" w:rsidRDefault="00A3019B" w:rsidP="00A3019B">
            <w:r>
              <w:t>N/A</w:t>
            </w:r>
          </w:p>
        </w:tc>
        <w:tc>
          <w:tcPr>
            <w:tcW w:w="1436" w:type="dxa"/>
          </w:tcPr>
          <w:p w14:paraId="76174BEF" w14:textId="77777777" w:rsidR="00A3019B" w:rsidRDefault="00A3019B" w:rsidP="00A3019B">
            <w:r>
              <w:t>22.6/2.1</w:t>
            </w:r>
          </w:p>
        </w:tc>
        <w:tc>
          <w:tcPr>
            <w:tcW w:w="1591" w:type="dxa"/>
          </w:tcPr>
          <w:p w14:paraId="76C90755" w14:textId="77777777" w:rsidR="00A3019B" w:rsidRDefault="00A3019B" w:rsidP="00A3019B">
            <w:r>
              <w:t>22.6/2.1</w:t>
            </w:r>
          </w:p>
        </w:tc>
        <w:tc>
          <w:tcPr>
            <w:tcW w:w="1179" w:type="dxa"/>
          </w:tcPr>
          <w:p w14:paraId="192B3D4B" w14:textId="77777777" w:rsidR="00A3019B" w:rsidRDefault="00A3019B" w:rsidP="00A3019B">
            <w:r>
              <w:t>14.1/1.2</w:t>
            </w:r>
          </w:p>
        </w:tc>
        <w:tc>
          <w:tcPr>
            <w:tcW w:w="2274" w:type="dxa"/>
          </w:tcPr>
          <w:p w14:paraId="2ADB3200" w14:textId="75F56DE4" w:rsidR="00A3019B" w:rsidRDefault="00A3019B" w:rsidP="00A3019B">
            <w:r>
              <w:t>12/1</w:t>
            </w:r>
          </w:p>
        </w:tc>
        <w:tc>
          <w:tcPr>
            <w:tcW w:w="2274" w:type="dxa"/>
          </w:tcPr>
          <w:p w14:paraId="3619F5FA" w14:textId="77777777" w:rsidR="00A3019B" w:rsidRDefault="00A3019B" w:rsidP="00A3019B">
            <w:r>
              <w:t>PT 9.4-12.5 seconds</w:t>
            </w:r>
          </w:p>
          <w:p w14:paraId="1CFE58B4" w14:textId="77777777" w:rsidR="00A3019B" w:rsidRDefault="00A3019B" w:rsidP="00A3019B">
            <w:r>
              <w:t>INR 0.9-1.1</w:t>
            </w:r>
          </w:p>
        </w:tc>
      </w:tr>
      <w:tr w:rsidR="00A3019B" w14:paraId="51C9EAA5" w14:textId="77777777" w:rsidTr="00A3019B">
        <w:tc>
          <w:tcPr>
            <w:tcW w:w="1689" w:type="dxa"/>
          </w:tcPr>
          <w:p w14:paraId="13BE514A" w14:textId="77777777" w:rsidR="00A3019B" w:rsidRDefault="00A3019B" w:rsidP="00A3019B">
            <w:r>
              <w:t>WBC</w:t>
            </w:r>
          </w:p>
        </w:tc>
        <w:tc>
          <w:tcPr>
            <w:tcW w:w="1546" w:type="dxa"/>
          </w:tcPr>
          <w:p w14:paraId="07414EF7" w14:textId="77777777" w:rsidR="00A3019B" w:rsidRDefault="00A3019B" w:rsidP="00A3019B">
            <w:r>
              <w:t>9.28</w:t>
            </w:r>
          </w:p>
        </w:tc>
        <w:tc>
          <w:tcPr>
            <w:tcW w:w="1436" w:type="dxa"/>
          </w:tcPr>
          <w:p w14:paraId="6F7F0D5A" w14:textId="77777777" w:rsidR="00A3019B" w:rsidRDefault="00A3019B" w:rsidP="00A3019B">
            <w:r>
              <w:t>19.7</w:t>
            </w:r>
          </w:p>
        </w:tc>
        <w:tc>
          <w:tcPr>
            <w:tcW w:w="1591" w:type="dxa"/>
          </w:tcPr>
          <w:p w14:paraId="78303BAA" w14:textId="77777777" w:rsidR="00A3019B" w:rsidRDefault="00A3019B" w:rsidP="00A3019B">
            <w:r>
              <w:t>30.7</w:t>
            </w:r>
          </w:p>
        </w:tc>
        <w:tc>
          <w:tcPr>
            <w:tcW w:w="1179" w:type="dxa"/>
          </w:tcPr>
          <w:p w14:paraId="6D6DE044" w14:textId="77777777" w:rsidR="00A3019B" w:rsidRDefault="00A3019B" w:rsidP="00A3019B">
            <w:r>
              <w:t>10.8</w:t>
            </w:r>
          </w:p>
        </w:tc>
        <w:tc>
          <w:tcPr>
            <w:tcW w:w="2274" w:type="dxa"/>
          </w:tcPr>
          <w:p w14:paraId="2B41861E" w14:textId="30DFAEE0" w:rsidR="00A3019B" w:rsidRPr="007E7B77" w:rsidRDefault="00A3019B" w:rsidP="00A3019B">
            <w:r>
              <w:t>12</w:t>
            </w:r>
          </w:p>
        </w:tc>
        <w:tc>
          <w:tcPr>
            <w:tcW w:w="2274" w:type="dxa"/>
          </w:tcPr>
          <w:p w14:paraId="0BC2F8A8" w14:textId="77777777" w:rsidR="00A3019B" w:rsidRPr="007E7B77" w:rsidRDefault="00A3019B" w:rsidP="00A3019B">
            <w:r w:rsidRPr="007E7B77">
              <w:t>4.30 - 11.00 x10(3)/</w:t>
            </w:r>
            <w:proofErr w:type="spellStart"/>
            <w:r w:rsidRPr="007E7B77">
              <w:t>mcL</w:t>
            </w:r>
            <w:proofErr w:type="spellEnd"/>
          </w:p>
        </w:tc>
      </w:tr>
      <w:tr w:rsidR="00A3019B" w14:paraId="566E9357" w14:textId="77777777" w:rsidTr="00A3019B">
        <w:tc>
          <w:tcPr>
            <w:tcW w:w="1689" w:type="dxa"/>
          </w:tcPr>
          <w:p w14:paraId="4A3B9CD3" w14:textId="77777777" w:rsidR="00A3019B" w:rsidRDefault="00A3019B" w:rsidP="00A3019B">
            <w:r>
              <w:t xml:space="preserve">Glucose </w:t>
            </w:r>
          </w:p>
        </w:tc>
        <w:tc>
          <w:tcPr>
            <w:tcW w:w="1546" w:type="dxa"/>
          </w:tcPr>
          <w:p w14:paraId="6BFC1F2B" w14:textId="77777777" w:rsidR="00A3019B" w:rsidRDefault="00A3019B" w:rsidP="00A3019B">
            <w:r>
              <w:t>90</w:t>
            </w:r>
          </w:p>
        </w:tc>
        <w:tc>
          <w:tcPr>
            <w:tcW w:w="1436" w:type="dxa"/>
          </w:tcPr>
          <w:p w14:paraId="4244B0A1" w14:textId="77777777" w:rsidR="00A3019B" w:rsidRDefault="00A3019B" w:rsidP="00A3019B">
            <w:r>
              <w:t>50</w:t>
            </w:r>
          </w:p>
        </w:tc>
        <w:tc>
          <w:tcPr>
            <w:tcW w:w="1591" w:type="dxa"/>
          </w:tcPr>
          <w:p w14:paraId="6038DBA4" w14:textId="77777777" w:rsidR="00A3019B" w:rsidRDefault="00A3019B" w:rsidP="00A3019B">
            <w:r>
              <w:t>50</w:t>
            </w:r>
          </w:p>
        </w:tc>
        <w:tc>
          <w:tcPr>
            <w:tcW w:w="1179" w:type="dxa"/>
          </w:tcPr>
          <w:p w14:paraId="004F038A" w14:textId="77777777" w:rsidR="00A3019B" w:rsidRDefault="00A3019B" w:rsidP="00A3019B">
            <w:r>
              <w:t>100</w:t>
            </w:r>
          </w:p>
        </w:tc>
        <w:tc>
          <w:tcPr>
            <w:tcW w:w="2274" w:type="dxa"/>
          </w:tcPr>
          <w:p w14:paraId="72477A41" w14:textId="22978EEF" w:rsidR="00A3019B" w:rsidRPr="007E7B77" w:rsidRDefault="00A3019B" w:rsidP="00A3019B">
            <w:r>
              <w:t>158</w:t>
            </w:r>
          </w:p>
        </w:tc>
        <w:tc>
          <w:tcPr>
            <w:tcW w:w="2274" w:type="dxa"/>
          </w:tcPr>
          <w:p w14:paraId="3B2A0780" w14:textId="77777777" w:rsidR="00A3019B" w:rsidRDefault="00A3019B" w:rsidP="00A3019B">
            <w:r w:rsidRPr="007E7B77">
              <w:t>74 - 109 mg/dL</w:t>
            </w:r>
          </w:p>
        </w:tc>
      </w:tr>
      <w:tr w:rsidR="00A3019B" w14:paraId="18BFAA83" w14:textId="77777777" w:rsidTr="00A3019B">
        <w:trPr>
          <w:trHeight w:val="296"/>
        </w:trPr>
        <w:tc>
          <w:tcPr>
            <w:tcW w:w="1689" w:type="dxa"/>
          </w:tcPr>
          <w:p w14:paraId="6B174246" w14:textId="77777777" w:rsidR="00A3019B" w:rsidRDefault="00A3019B" w:rsidP="00A3019B">
            <w:r>
              <w:t xml:space="preserve">Fibrinogen </w:t>
            </w:r>
          </w:p>
        </w:tc>
        <w:tc>
          <w:tcPr>
            <w:tcW w:w="1546" w:type="dxa"/>
          </w:tcPr>
          <w:p w14:paraId="7656772E" w14:textId="77777777" w:rsidR="00A3019B" w:rsidRDefault="00A3019B" w:rsidP="00A3019B">
            <w:r>
              <w:t xml:space="preserve">N/A </w:t>
            </w:r>
          </w:p>
        </w:tc>
        <w:tc>
          <w:tcPr>
            <w:tcW w:w="1436" w:type="dxa"/>
          </w:tcPr>
          <w:p w14:paraId="6E27145F" w14:textId="77777777" w:rsidR="00A3019B" w:rsidRDefault="00A3019B" w:rsidP="00A3019B">
            <w:r>
              <w:t>125</w:t>
            </w:r>
          </w:p>
        </w:tc>
        <w:tc>
          <w:tcPr>
            <w:tcW w:w="1591" w:type="dxa"/>
          </w:tcPr>
          <w:p w14:paraId="6C4579AB" w14:textId="77777777" w:rsidR="00A3019B" w:rsidRDefault="00A3019B" w:rsidP="00A3019B">
            <w:r>
              <w:t>75</w:t>
            </w:r>
          </w:p>
        </w:tc>
        <w:tc>
          <w:tcPr>
            <w:tcW w:w="1179" w:type="dxa"/>
          </w:tcPr>
          <w:p w14:paraId="40598A62" w14:textId="77777777" w:rsidR="00A3019B" w:rsidRDefault="00A3019B" w:rsidP="00A3019B">
            <w:r>
              <w:t>194</w:t>
            </w:r>
          </w:p>
        </w:tc>
        <w:tc>
          <w:tcPr>
            <w:tcW w:w="2274" w:type="dxa"/>
          </w:tcPr>
          <w:p w14:paraId="461EB5C8" w14:textId="7A0DE265" w:rsidR="00A3019B" w:rsidRPr="00931C19" w:rsidRDefault="00A3019B" w:rsidP="00A3019B">
            <w:r>
              <w:t>195</w:t>
            </w:r>
          </w:p>
        </w:tc>
        <w:tc>
          <w:tcPr>
            <w:tcW w:w="2274" w:type="dxa"/>
          </w:tcPr>
          <w:p w14:paraId="23308DE1" w14:textId="77777777" w:rsidR="00A3019B" w:rsidRPr="007E7B77" w:rsidRDefault="00A3019B" w:rsidP="00A3019B">
            <w:r w:rsidRPr="00931C19">
              <w:t>200 - 393 mg/dL</w:t>
            </w:r>
          </w:p>
        </w:tc>
      </w:tr>
      <w:tr w:rsidR="00A3019B" w14:paraId="6FB9DA07" w14:textId="77777777" w:rsidTr="00A3019B">
        <w:trPr>
          <w:trHeight w:val="296"/>
        </w:trPr>
        <w:tc>
          <w:tcPr>
            <w:tcW w:w="1689" w:type="dxa"/>
          </w:tcPr>
          <w:p w14:paraId="0BFD18CB" w14:textId="77777777" w:rsidR="00A3019B" w:rsidRDefault="00A3019B" w:rsidP="00A3019B">
            <w:r>
              <w:t>H</w:t>
            </w:r>
            <w:r>
              <w:rPr>
                <w:rFonts w:hint="eastAsia"/>
              </w:rPr>
              <w:t>ap</w:t>
            </w:r>
            <w:r>
              <w:t>toglobin</w:t>
            </w:r>
          </w:p>
        </w:tc>
        <w:tc>
          <w:tcPr>
            <w:tcW w:w="1546" w:type="dxa"/>
          </w:tcPr>
          <w:p w14:paraId="07ACD5E0" w14:textId="77777777" w:rsidR="00A3019B" w:rsidRDefault="00A3019B" w:rsidP="00A3019B">
            <w:r>
              <w:t>&lt;20</w:t>
            </w:r>
          </w:p>
        </w:tc>
        <w:tc>
          <w:tcPr>
            <w:tcW w:w="1436" w:type="dxa"/>
          </w:tcPr>
          <w:p w14:paraId="0C95B9B6" w14:textId="77777777" w:rsidR="00A3019B" w:rsidRDefault="00A3019B" w:rsidP="00A3019B">
            <w:r>
              <w:t>&lt;20</w:t>
            </w:r>
          </w:p>
        </w:tc>
        <w:tc>
          <w:tcPr>
            <w:tcW w:w="1591" w:type="dxa"/>
          </w:tcPr>
          <w:p w14:paraId="67022B98" w14:textId="77777777" w:rsidR="00A3019B" w:rsidRDefault="00A3019B" w:rsidP="00A3019B">
            <w:r>
              <w:t>&lt;20</w:t>
            </w:r>
          </w:p>
        </w:tc>
        <w:tc>
          <w:tcPr>
            <w:tcW w:w="1179" w:type="dxa"/>
          </w:tcPr>
          <w:p w14:paraId="594F5410" w14:textId="77777777" w:rsidR="00A3019B" w:rsidRDefault="00A3019B" w:rsidP="00A3019B">
            <w:r>
              <w:t>&lt;20</w:t>
            </w:r>
          </w:p>
        </w:tc>
        <w:tc>
          <w:tcPr>
            <w:tcW w:w="2274" w:type="dxa"/>
          </w:tcPr>
          <w:p w14:paraId="5358CE97" w14:textId="4F74B6F3" w:rsidR="00A3019B" w:rsidRPr="005A5D0D" w:rsidRDefault="00A3019B" w:rsidP="00A3019B">
            <w:r>
              <w:t>&lt;20</w:t>
            </w:r>
          </w:p>
        </w:tc>
        <w:tc>
          <w:tcPr>
            <w:tcW w:w="2274" w:type="dxa"/>
          </w:tcPr>
          <w:p w14:paraId="10FA5C76" w14:textId="77777777" w:rsidR="00A3019B" w:rsidRPr="005A5D0D" w:rsidRDefault="00A3019B" w:rsidP="00A3019B">
            <w:r w:rsidRPr="005A5D0D">
              <w:t>34-200mg/dL</w:t>
            </w:r>
          </w:p>
        </w:tc>
      </w:tr>
      <w:tr w:rsidR="00A3019B" w14:paraId="2B60327C" w14:textId="77777777" w:rsidTr="00A3019B">
        <w:trPr>
          <w:trHeight w:val="296"/>
        </w:trPr>
        <w:tc>
          <w:tcPr>
            <w:tcW w:w="1689" w:type="dxa"/>
          </w:tcPr>
          <w:p w14:paraId="47EE4377" w14:textId="77777777" w:rsidR="00A3019B" w:rsidRDefault="00A3019B" w:rsidP="00A3019B">
            <w:r>
              <w:t>LDH</w:t>
            </w:r>
          </w:p>
        </w:tc>
        <w:tc>
          <w:tcPr>
            <w:tcW w:w="1546" w:type="dxa"/>
          </w:tcPr>
          <w:p w14:paraId="1A9F0F10" w14:textId="77777777" w:rsidR="00A3019B" w:rsidRDefault="00A3019B" w:rsidP="00A3019B">
            <w:r>
              <w:t>N/A</w:t>
            </w:r>
          </w:p>
        </w:tc>
        <w:tc>
          <w:tcPr>
            <w:tcW w:w="1436" w:type="dxa"/>
          </w:tcPr>
          <w:p w14:paraId="6311A2B1" w14:textId="77777777" w:rsidR="00A3019B" w:rsidRDefault="00A3019B" w:rsidP="00A3019B">
            <w:r>
              <w:t>595</w:t>
            </w:r>
          </w:p>
        </w:tc>
        <w:tc>
          <w:tcPr>
            <w:tcW w:w="1591" w:type="dxa"/>
          </w:tcPr>
          <w:p w14:paraId="369B3DE3" w14:textId="77777777" w:rsidR="00A3019B" w:rsidRDefault="00A3019B" w:rsidP="00A3019B">
            <w:r>
              <w:t>814</w:t>
            </w:r>
          </w:p>
        </w:tc>
        <w:tc>
          <w:tcPr>
            <w:tcW w:w="1179" w:type="dxa"/>
          </w:tcPr>
          <w:p w14:paraId="7CA20248" w14:textId="77777777" w:rsidR="00A3019B" w:rsidRDefault="00A3019B" w:rsidP="00A3019B">
            <w:r>
              <w:t>814</w:t>
            </w:r>
          </w:p>
        </w:tc>
        <w:tc>
          <w:tcPr>
            <w:tcW w:w="2274" w:type="dxa"/>
          </w:tcPr>
          <w:p w14:paraId="6E3E75AC" w14:textId="1D387A21" w:rsidR="00A3019B" w:rsidRPr="005A5D0D" w:rsidRDefault="00A3019B" w:rsidP="00A3019B">
            <w:r>
              <w:t>659</w:t>
            </w:r>
          </w:p>
        </w:tc>
        <w:tc>
          <w:tcPr>
            <w:tcW w:w="2274" w:type="dxa"/>
          </w:tcPr>
          <w:p w14:paraId="6D352884" w14:textId="77777777" w:rsidR="00A3019B" w:rsidRPr="005A5D0D" w:rsidRDefault="00A3019B" w:rsidP="00A3019B">
            <w:r w:rsidRPr="005A5D0D">
              <w:t>135-214 U/L</w:t>
            </w:r>
          </w:p>
        </w:tc>
      </w:tr>
      <w:tr w:rsidR="00044334" w14:paraId="34710007" w14:textId="77777777" w:rsidTr="00A3019B">
        <w:trPr>
          <w:trHeight w:val="296"/>
        </w:trPr>
        <w:tc>
          <w:tcPr>
            <w:tcW w:w="1689" w:type="dxa"/>
          </w:tcPr>
          <w:p w14:paraId="6880CC4A" w14:textId="71B38CE3" w:rsidR="00044334" w:rsidRDefault="00044334" w:rsidP="00A3019B">
            <w:r>
              <w:t>Ammonia</w:t>
            </w:r>
          </w:p>
        </w:tc>
        <w:tc>
          <w:tcPr>
            <w:tcW w:w="1546" w:type="dxa"/>
          </w:tcPr>
          <w:p w14:paraId="302A175D" w14:textId="6B6E936B" w:rsidR="00044334" w:rsidRDefault="00FE1C61" w:rsidP="00A3019B">
            <w:r>
              <w:t>N/A</w:t>
            </w:r>
          </w:p>
        </w:tc>
        <w:tc>
          <w:tcPr>
            <w:tcW w:w="1436" w:type="dxa"/>
          </w:tcPr>
          <w:p w14:paraId="59CF1483" w14:textId="68AFCFAC" w:rsidR="00044334" w:rsidRDefault="00FE1C61" w:rsidP="00A3019B">
            <w:r>
              <w:t>75</w:t>
            </w:r>
          </w:p>
        </w:tc>
        <w:tc>
          <w:tcPr>
            <w:tcW w:w="1591" w:type="dxa"/>
          </w:tcPr>
          <w:p w14:paraId="7852DB99" w14:textId="23F73ABB" w:rsidR="00044334" w:rsidRDefault="00FE1C61" w:rsidP="00A3019B">
            <w:r>
              <w:t>90</w:t>
            </w:r>
          </w:p>
        </w:tc>
        <w:tc>
          <w:tcPr>
            <w:tcW w:w="1179" w:type="dxa"/>
          </w:tcPr>
          <w:p w14:paraId="1DBF8002" w14:textId="0EE75A53" w:rsidR="00044334" w:rsidRDefault="00FE1C61" w:rsidP="00A3019B">
            <w:r>
              <w:t>35</w:t>
            </w:r>
          </w:p>
        </w:tc>
        <w:tc>
          <w:tcPr>
            <w:tcW w:w="2274" w:type="dxa"/>
          </w:tcPr>
          <w:p w14:paraId="569E9747" w14:textId="592B09A5" w:rsidR="00044334" w:rsidRDefault="00FE1C61" w:rsidP="00A3019B">
            <w:r>
              <w:t>27</w:t>
            </w:r>
          </w:p>
        </w:tc>
        <w:tc>
          <w:tcPr>
            <w:tcW w:w="2274" w:type="dxa"/>
          </w:tcPr>
          <w:p w14:paraId="1D1E74BC" w14:textId="10032E71" w:rsidR="00044334" w:rsidRPr="005A5D0D" w:rsidRDefault="00C37A2A" w:rsidP="00A3019B">
            <w:r>
              <w:t>16-33 mmol/L</w:t>
            </w:r>
          </w:p>
        </w:tc>
      </w:tr>
    </w:tbl>
    <w:p w14:paraId="0A177924" w14:textId="3326604A" w:rsidR="002C6A5D" w:rsidRDefault="007260B8">
      <w:r>
        <w:t>Table 1: lab</w:t>
      </w:r>
      <w:r w:rsidR="00494517">
        <w:t>oratory</w:t>
      </w:r>
      <w:r>
        <w:t xml:space="preserve"> test</w:t>
      </w:r>
      <w:r w:rsidR="00494517">
        <w:t xml:space="preserve"> results </w:t>
      </w:r>
      <w:r w:rsidR="00187E7B">
        <w:t>(Baseline labs were done 7 months ago)</w:t>
      </w:r>
    </w:p>
    <w:p w14:paraId="4F0B4934" w14:textId="1FE228E0" w:rsidR="00292DAE" w:rsidRDefault="00292DAE"/>
    <w:p w14:paraId="4246DDC9" w14:textId="77777777" w:rsidR="003B76D4" w:rsidRDefault="003B76D4"/>
    <w:p w14:paraId="70B99816" w14:textId="289AA07B" w:rsidR="00D415CB" w:rsidRDefault="00D415CB">
      <w:r>
        <w:t>Figure 1 liver ultrasound picture</w:t>
      </w:r>
    </w:p>
    <w:p w14:paraId="20341B0E" w14:textId="78EE02D0" w:rsidR="0035455D" w:rsidRDefault="00543D32">
      <w:r>
        <w:rPr>
          <w:rFonts w:ascii="Fira Sans" w:hAnsi="Fira Sans"/>
          <w:noProof/>
          <w:color w:val="333333"/>
          <w:shd w:val="clear" w:color="auto" w:fill="FFFFFF"/>
        </w:rPr>
        <w:lastRenderedPageBreak/>
        <w:drawing>
          <wp:inline distT="0" distB="0" distL="0" distR="0" wp14:anchorId="5DEEDBDF" wp14:editId="01AD0337">
            <wp:extent cx="5943600" cy="3921125"/>
            <wp:effectExtent l="0" t="0" r="0" b="3175"/>
            <wp:docPr id="1" name="Picture 1" descr="A ultrasound image of a person's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ultrasound image of a person's bod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3921125"/>
                    </a:xfrm>
                    <a:prstGeom prst="rect">
                      <a:avLst/>
                    </a:prstGeom>
                  </pic:spPr>
                </pic:pic>
              </a:graphicData>
            </a:graphic>
          </wp:inline>
        </w:drawing>
      </w:r>
      <w:r w:rsidR="0035455D">
        <w:br w:type="page"/>
      </w:r>
    </w:p>
    <w:p w14:paraId="7B60B9D6" w14:textId="149A1631" w:rsidR="0012105B" w:rsidRDefault="0012105B">
      <w:r>
        <w:lastRenderedPageBreak/>
        <w:t xml:space="preserve">Liver ultrasound: echogenic liver likely representing </w:t>
      </w:r>
      <w:r w:rsidR="00DA0057">
        <w:t>fatty infiltration versus diffuse parenchymal disease</w:t>
      </w:r>
    </w:p>
    <w:p w14:paraId="7AE79D92" w14:textId="6EFB830C" w:rsidR="0035455D" w:rsidRDefault="009C770F">
      <w:r w:rsidRPr="005B1C02">
        <w:t> </w:t>
      </w:r>
    </w:p>
    <w:p w14:paraId="6FD91B96" w14:textId="77777777" w:rsidR="0012105B" w:rsidRDefault="0012105B"/>
    <w:p w14:paraId="640B6BCD" w14:textId="54023508" w:rsidR="00426DC7" w:rsidRPr="005800D7" w:rsidRDefault="00426DC7" w:rsidP="00426DC7">
      <w:r w:rsidRPr="00801E32">
        <w:t>The Swansea Criteria are used to bring uniformity to the diagnosis of AFLP. They are defined by 6 or more of the following: vomiting, abdominal pain, polydipsia/polyuria, encephalopathy, aspartate transaminase or alanine transaminase &gt; 42 U/L, bilirubin &gt; 0.8 mg/dL, glucose &lt; 72 mg/dL, white blood cell count</w:t>
      </w:r>
      <w:r w:rsidR="00344258" w:rsidRPr="00801E32">
        <w:t>&gt; 11 × 106/L</w:t>
      </w:r>
      <w:r w:rsidRPr="00801E32">
        <w:t xml:space="preserve">, uric acid &gt; 5.7 mg/dL, ammonia &gt; 42 IU/L, creatinine &gt; 1.7 mg/dL, prothrombin &gt; 14 sec or partial thromboplastin time &gt; 34 sec, </w:t>
      </w:r>
      <w:proofErr w:type="gramStart"/>
      <w:r w:rsidRPr="00801E32">
        <w:t>ascites</w:t>
      </w:r>
      <w:proofErr w:type="gramEnd"/>
      <w:r w:rsidRPr="00801E32">
        <w:t xml:space="preserve"> or bright liver on ultrasound, or </w:t>
      </w:r>
      <w:proofErr w:type="spellStart"/>
      <w:r w:rsidRPr="00801E32">
        <w:t>microvesicular</w:t>
      </w:r>
      <w:proofErr w:type="spellEnd"/>
      <w:r w:rsidRPr="00801E32">
        <w:t xml:space="preserve"> steatosis on biopsy. The criteria have an estimated sensitivity of 100% and a specificity of 57%, with a positive predictive value of 85% and a negative predictive value of 100%</w:t>
      </w:r>
    </w:p>
    <w:p w14:paraId="2294DEB4" w14:textId="5CFD704A" w:rsidR="00FA3424" w:rsidRDefault="00FA3424"/>
    <w:p w14:paraId="23BD6381" w14:textId="77777777" w:rsidR="00534ACC" w:rsidRPr="00534ACC" w:rsidRDefault="00534ACC" w:rsidP="00534ACC">
      <w:pPr>
        <w:spacing w:before="100" w:beforeAutospacing="1" w:after="100" w:afterAutospacing="1"/>
      </w:pPr>
      <w:r w:rsidRPr="00534ACC">
        <w:rPr>
          <w:b/>
          <w:bCs/>
        </w:rPr>
        <w:t>Teaching Points:</w:t>
      </w:r>
    </w:p>
    <w:p w14:paraId="339F2029" w14:textId="77777777" w:rsidR="00534ACC" w:rsidRPr="00534ACC" w:rsidRDefault="00534ACC" w:rsidP="00534ACC">
      <w:pPr>
        <w:numPr>
          <w:ilvl w:val="0"/>
          <w:numId w:val="5"/>
        </w:numPr>
        <w:spacing w:before="100" w:beforeAutospacing="1" w:after="100" w:afterAutospacing="1"/>
      </w:pPr>
      <w:r w:rsidRPr="00534ACC">
        <w:rPr>
          <w:b/>
          <w:bCs/>
        </w:rPr>
        <w:t>Balanced Hemostasis in Liver Disease:</w:t>
      </w:r>
      <w:r w:rsidRPr="00534ACC">
        <w:t xml:space="preserve"> The liver produces both coagulation factors and inhibitors, resulting in a rebalanced hemostatic state in patients with liver disease. These patients are not necessarily at increased risk of bleeding, and bleeding risk is generally low and manageable. Prophylactic administration of fresh frozen plasma (FFP) solely to correct elevated prothrombin time is not recommended.</w:t>
      </w:r>
    </w:p>
    <w:p w14:paraId="7AA185A1" w14:textId="77777777" w:rsidR="00534ACC" w:rsidRPr="00534ACC" w:rsidRDefault="00534ACC" w:rsidP="00534ACC">
      <w:pPr>
        <w:numPr>
          <w:ilvl w:val="0"/>
          <w:numId w:val="5"/>
        </w:numPr>
        <w:spacing w:before="100" w:beforeAutospacing="1" w:after="100" w:afterAutospacing="1"/>
      </w:pPr>
      <w:r w:rsidRPr="00534ACC">
        <w:rPr>
          <w:b/>
          <w:bCs/>
        </w:rPr>
        <w:t>Limitations of Coagulation Lab Tests:</w:t>
      </w:r>
      <w:r w:rsidRPr="00534ACC">
        <w:t xml:space="preserve"> The decision to perform neuraxial anesthesia should not be based solely on coagulation lab results. Standard coagulation tests such as </w:t>
      </w:r>
      <w:proofErr w:type="spellStart"/>
      <w:r w:rsidRPr="00534ACC">
        <w:t>aPTT</w:t>
      </w:r>
      <w:proofErr w:type="spellEnd"/>
      <w:r w:rsidRPr="00534ACC">
        <w:t xml:space="preserve"> and PT/INR were not designed to assess bleeding risk and have limited predictive value. A Danish nationwide population-based cohort study demonstrated a low absolute risk of spinal hematoma within 30 days of lumbar puncture, with no significant difference between patients with and without coagulopathy.</w:t>
      </w:r>
    </w:p>
    <w:p w14:paraId="21906F4C" w14:textId="77777777" w:rsidR="00534ACC" w:rsidRPr="00534ACC" w:rsidRDefault="00534ACC" w:rsidP="00534ACC">
      <w:pPr>
        <w:numPr>
          <w:ilvl w:val="0"/>
          <w:numId w:val="5"/>
        </w:numPr>
        <w:spacing w:before="100" w:beforeAutospacing="1" w:after="100" w:afterAutospacing="1"/>
      </w:pPr>
      <w:r w:rsidRPr="00534ACC">
        <w:rPr>
          <w:b/>
          <w:bCs/>
        </w:rPr>
        <w:t>Value of Comprehensive Clinical Assessment:</w:t>
      </w:r>
      <w:r w:rsidRPr="00534ACC">
        <w:t xml:space="preserve"> A detailed patient history obtained from the patient, family, or medical records is often more informative than routine clotting screens when assessing bleeding risk. Platelet count may be a more reliable predictor of bleeding risk than traditional coagulation profiles.</w:t>
      </w:r>
    </w:p>
    <w:p w14:paraId="0F4CB673" w14:textId="77777777" w:rsidR="00534ACC" w:rsidRPr="007232E2" w:rsidRDefault="00534ACC" w:rsidP="00933B78">
      <w:pPr>
        <w:spacing w:before="100" w:beforeAutospacing="1" w:after="100" w:afterAutospacing="1"/>
        <w:ind w:left="720"/>
      </w:pPr>
    </w:p>
    <w:p w14:paraId="5DFBF152" w14:textId="6270579F" w:rsidR="00A57203" w:rsidRDefault="00A57203" w:rsidP="008436DC">
      <w:pPr>
        <w:rPr>
          <w:b/>
          <w:bCs/>
        </w:rPr>
      </w:pPr>
    </w:p>
    <w:p w14:paraId="0ADE5F62" w14:textId="77777777" w:rsidR="006E553E" w:rsidRPr="008436DC" w:rsidRDefault="006E553E" w:rsidP="008436DC"/>
    <w:p w14:paraId="12FCA746" w14:textId="77777777" w:rsidR="00890847" w:rsidRDefault="00890847"/>
    <w:sectPr w:rsidR="00890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Fira Sans">
    <w:panose1 w:val="020B0503050000020004"/>
    <w:charset w:val="00"/>
    <w:family w:val="swiss"/>
    <w:pitch w:val="variable"/>
    <w:sig w:usb0="600002FF"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5E9"/>
    <w:multiLevelType w:val="hybridMultilevel"/>
    <w:tmpl w:val="F24CDBB2"/>
    <w:lvl w:ilvl="0" w:tplc="DD882724">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1733A"/>
    <w:multiLevelType w:val="hybridMultilevel"/>
    <w:tmpl w:val="7534F022"/>
    <w:lvl w:ilvl="0" w:tplc="C09EF068">
      <w:start w:val="3"/>
      <w:numFmt w:val="bullet"/>
      <w:lvlText w:val="-"/>
      <w:lvlJc w:val="left"/>
      <w:pPr>
        <w:ind w:left="720" w:hanging="360"/>
      </w:pPr>
      <w:rPr>
        <w:rFonts w:ascii="Cambria" w:eastAsia="SimSun" w:hAnsi="Cambria" w:cstheme="minorBidi" w:hint="default"/>
        <w:color w:val="1B1B1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50A1C"/>
    <w:multiLevelType w:val="hybridMultilevel"/>
    <w:tmpl w:val="9912BFD0"/>
    <w:lvl w:ilvl="0" w:tplc="5DA269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974F1B"/>
    <w:multiLevelType w:val="multilevel"/>
    <w:tmpl w:val="F3BE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44C5E"/>
    <w:multiLevelType w:val="multilevel"/>
    <w:tmpl w:val="06BC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45"/>
    <w:rsid w:val="000007B0"/>
    <w:rsid w:val="000021BF"/>
    <w:rsid w:val="000127F5"/>
    <w:rsid w:val="00013D16"/>
    <w:rsid w:val="00014ACD"/>
    <w:rsid w:val="00020AF7"/>
    <w:rsid w:val="000232B2"/>
    <w:rsid w:val="0002488B"/>
    <w:rsid w:val="0002535B"/>
    <w:rsid w:val="00032730"/>
    <w:rsid w:val="00033BE6"/>
    <w:rsid w:val="000378F0"/>
    <w:rsid w:val="00044334"/>
    <w:rsid w:val="000446C2"/>
    <w:rsid w:val="00050EA2"/>
    <w:rsid w:val="00051849"/>
    <w:rsid w:val="00051A07"/>
    <w:rsid w:val="0005282A"/>
    <w:rsid w:val="00057517"/>
    <w:rsid w:val="00061AF1"/>
    <w:rsid w:val="0007223E"/>
    <w:rsid w:val="0007439B"/>
    <w:rsid w:val="00076512"/>
    <w:rsid w:val="000809A7"/>
    <w:rsid w:val="00081347"/>
    <w:rsid w:val="000818AC"/>
    <w:rsid w:val="0009416E"/>
    <w:rsid w:val="000A0353"/>
    <w:rsid w:val="000A0377"/>
    <w:rsid w:val="000A1188"/>
    <w:rsid w:val="000B046C"/>
    <w:rsid w:val="000B3ED7"/>
    <w:rsid w:val="000B48DF"/>
    <w:rsid w:val="000B5A95"/>
    <w:rsid w:val="000C1A56"/>
    <w:rsid w:val="000C27FD"/>
    <w:rsid w:val="000C2C32"/>
    <w:rsid w:val="000C4E3A"/>
    <w:rsid w:val="000C6524"/>
    <w:rsid w:val="000D0851"/>
    <w:rsid w:val="000D0BA6"/>
    <w:rsid w:val="000D1926"/>
    <w:rsid w:val="000D1ACB"/>
    <w:rsid w:val="000D1D3A"/>
    <w:rsid w:val="000D4416"/>
    <w:rsid w:val="000D4CC6"/>
    <w:rsid w:val="000E01BB"/>
    <w:rsid w:val="000E137A"/>
    <w:rsid w:val="000E176E"/>
    <w:rsid w:val="000F55A3"/>
    <w:rsid w:val="00100583"/>
    <w:rsid w:val="00110F37"/>
    <w:rsid w:val="0011233C"/>
    <w:rsid w:val="00120A7C"/>
    <w:rsid w:val="0012105B"/>
    <w:rsid w:val="001214D4"/>
    <w:rsid w:val="00136C08"/>
    <w:rsid w:val="001438C2"/>
    <w:rsid w:val="0015097E"/>
    <w:rsid w:val="0015099B"/>
    <w:rsid w:val="0015271F"/>
    <w:rsid w:val="001553A3"/>
    <w:rsid w:val="001572F0"/>
    <w:rsid w:val="00161A9E"/>
    <w:rsid w:val="001766A3"/>
    <w:rsid w:val="00177841"/>
    <w:rsid w:val="00180269"/>
    <w:rsid w:val="00181050"/>
    <w:rsid w:val="00187E7B"/>
    <w:rsid w:val="00192CD3"/>
    <w:rsid w:val="00196C8A"/>
    <w:rsid w:val="00197C7E"/>
    <w:rsid w:val="001A1B81"/>
    <w:rsid w:val="001A7CD2"/>
    <w:rsid w:val="001B0D52"/>
    <w:rsid w:val="001B226B"/>
    <w:rsid w:val="001B285B"/>
    <w:rsid w:val="001B45F7"/>
    <w:rsid w:val="001B57E2"/>
    <w:rsid w:val="001C0420"/>
    <w:rsid w:val="001C3118"/>
    <w:rsid w:val="001C5A5A"/>
    <w:rsid w:val="001D04BC"/>
    <w:rsid w:val="001D2EEE"/>
    <w:rsid w:val="001D3291"/>
    <w:rsid w:val="001D4D1E"/>
    <w:rsid w:val="001D5187"/>
    <w:rsid w:val="001E06EC"/>
    <w:rsid w:val="001E213B"/>
    <w:rsid w:val="001E3298"/>
    <w:rsid w:val="001E3948"/>
    <w:rsid w:val="001E59F0"/>
    <w:rsid w:val="001E6D0A"/>
    <w:rsid w:val="001F334D"/>
    <w:rsid w:val="001F481E"/>
    <w:rsid w:val="001F7EFD"/>
    <w:rsid w:val="00206F57"/>
    <w:rsid w:val="00210FC9"/>
    <w:rsid w:val="0021341A"/>
    <w:rsid w:val="0021770F"/>
    <w:rsid w:val="002223AB"/>
    <w:rsid w:val="00226F0E"/>
    <w:rsid w:val="00227346"/>
    <w:rsid w:val="00230B31"/>
    <w:rsid w:val="00233260"/>
    <w:rsid w:val="0023498C"/>
    <w:rsid w:val="00235CC7"/>
    <w:rsid w:val="00236175"/>
    <w:rsid w:val="00237E7B"/>
    <w:rsid w:val="0024345B"/>
    <w:rsid w:val="002448D7"/>
    <w:rsid w:val="00244976"/>
    <w:rsid w:val="00247D7C"/>
    <w:rsid w:val="002513D3"/>
    <w:rsid w:val="00254C85"/>
    <w:rsid w:val="00256957"/>
    <w:rsid w:val="0026388E"/>
    <w:rsid w:val="00263900"/>
    <w:rsid w:val="00265C6F"/>
    <w:rsid w:val="0026657D"/>
    <w:rsid w:val="00272F6E"/>
    <w:rsid w:val="0027338D"/>
    <w:rsid w:val="00274581"/>
    <w:rsid w:val="002844BD"/>
    <w:rsid w:val="00284677"/>
    <w:rsid w:val="002855C1"/>
    <w:rsid w:val="00292DAE"/>
    <w:rsid w:val="00294A69"/>
    <w:rsid w:val="00295DF4"/>
    <w:rsid w:val="00297A49"/>
    <w:rsid w:val="002A3232"/>
    <w:rsid w:val="002A4C00"/>
    <w:rsid w:val="002A55CE"/>
    <w:rsid w:val="002B0F4E"/>
    <w:rsid w:val="002B4121"/>
    <w:rsid w:val="002C10BC"/>
    <w:rsid w:val="002C158F"/>
    <w:rsid w:val="002C1618"/>
    <w:rsid w:val="002C3009"/>
    <w:rsid w:val="002C393F"/>
    <w:rsid w:val="002C410B"/>
    <w:rsid w:val="002C5BB9"/>
    <w:rsid w:val="002C5CB6"/>
    <w:rsid w:val="002C6A5D"/>
    <w:rsid w:val="002D0645"/>
    <w:rsid w:val="002D4DD8"/>
    <w:rsid w:val="002D5C52"/>
    <w:rsid w:val="002D6AAF"/>
    <w:rsid w:val="002D7EC2"/>
    <w:rsid w:val="002E21AD"/>
    <w:rsid w:val="002E39AE"/>
    <w:rsid w:val="002E790E"/>
    <w:rsid w:val="002F2FA1"/>
    <w:rsid w:val="002F688B"/>
    <w:rsid w:val="002F7F12"/>
    <w:rsid w:val="0030607D"/>
    <w:rsid w:val="00310F3D"/>
    <w:rsid w:val="003126FF"/>
    <w:rsid w:val="0031741D"/>
    <w:rsid w:val="00334B19"/>
    <w:rsid w:val="00334FE1"/>
    <w:rsid w:val="0033705D"/>
    <w:rsid w:val="00337970"/>
    <w:rsid w:val="00343521"/>
    <w:rsid w:val="00343824"/>
    <w:rsid w:val="00344258"/>
    <w:rsid w:val="00350E07"/>
    <w:rsid w:val="003522BC"/>
    <w:rsid w:val="0035455D"/>
    <w:rsid w:val="00361E7E"/>
    <w:rsid w:val="0036682D"/>
    <w:rsid w:val="0036762D"/>
    <w:rsid w:val="003721AF"/>
    <w:rsid w:val="00372629"/>
    <w:rsid w:val="00372B28"/>
    <w:rsid w:val="00375D5D"/>
    <w:rsid w:val="003779B2"/>
    <w:rsid w:val="00377CCE"/>
    <w:rsid w:val="00387A09"/>
    <w:rsid w:val="00397EDA"/>
    <w:rsid w:val="003A3F41"/>
    <w:rsid w:val="003B0F6E"/>
    <w:rsid w:val="003B76D4"/>
    <w:rsid w:val="003C0112"/>
    <w:rsid w:val="003C0DFD"/>
    <w:rsid w:val="003C1AB3"/>
    <w:rsid w:val="003C6CA2"/>
    <w:rsid w:val="003D4FDD"/>
    <w:rsid w:val="003D4FF0"/>
    <w:rsid w:val="003D79D2"/>
    <w:rsid w:val="003E08E5"/>
    <w:rsid w:val="003F337B"/>
    <w:rsid w:val="003F3539"/>
    <w:rsid w:val="003F3B38"/>
    <w:rsid w:val="003F3DF7"/>
    <w:rsid w:val="003F4A78"/>
    <w:rsid w:val="003F5468"/>
    <w:rsid w:val="003F68F4"/>
    <w:rsid w:val="003F7A0F"/>
    <w:rsid w:val="003F7D6A"/>
    <w:rsid w:val="00400BFA"/>
    <w:rsid w:val="00400F68"/>
    <w:rsid w:val="00410915"/>
    <w:rsid w:val="0041138D"/>
    <w:rsid w:val="00411D9C"/>
    <w:rsid w:val="00422CE6"/>
    <w:rsid w:val="00425D89"/>
    <w:rsid w:val="00426DC7"/>
    <w:rsid w:val="00430D0E"/>
    <w:rsid w:val="00434274"/>
    <w:rsid w:val="00434C8E"/>
    <w:rsid w:val="00435E14"/>
    <w:rsid w:val="0046730B"/>
    <w:rsid w:val="004700E7"/>
    <w:rsid w:val="00473525"/>
    <w:rsid w:val="00476CAA"/>
    <w:rsid w:val="004819D8"/>
    <w:rsid w:val="004847C2"/>
    <w:rsid w:val="004918A8"/>
    <w:rsid w:val="00492755"/>
    <w:rsid w:val="00492CD4"/>
    <w:rsid w:val="00494517"/>
    <w:rsid w:val="00494BC1"/>
    <w:rsid w:val="004A1F15"/>
    <w:rsid w:val="004A302B"/>
    <w:rsid w:val="004A36E5"/>
    <w:rsid w:val="004A7AC7"/>
    <w:rsid w:val="004B5BBC"/>
    <w:rsid w:val="004B6AE5"/>
    <w:rsid w:val="004B7C67"/>
    <w:rsid w:val="004C077B"/>
    <w:rsid w:val="004D010B"/>
    <w:rsid w:val="004D137B"/>
    <w:rsid w:val="004E1489"/>
    <w:rsid w:val="004E5D70"/>
    <w:rsid w:val="004F1061"/>
    <w:rsid w:val="004F535B"/>
    <w:rsid w:val="0050280D"/>
    <w:rsid w:val="00504C28"/>
    <w:rsid w:val="005064B1"/>
    <w:rsid w:val="00512733"/>
    <w:rsid w:val="00513D63"/>
    <w:rsid w:val="0052591D"/>
    <w:rsid w:val="005277EE"/>
    <w:rsid w:val="00534ACC"/>
    <w:rsid w:val="00536E8C"/>
    <w:rsid w:val="00537799"/>
    <w:rsid w:val="00543D32"/>
    <w:rsid w:val="00546A90"/>
    <w:rsid w:val="00561A29"/>
    <w:rsid w:val="00564F29"/>
    <w:rsid w:val="005659C2"/>
    <w:rsid w:val="00574863"/>
    <w:rsid w:val="00577560"/>
    <w:rsid w:val="005800D7"/>
    <w:rsid w:val="005817B2"/>
    <w:rsid w:val="00584738"/>
    <w:rsid w:val="0058578B"/>
    <w:rsid w:val="00587CA3"/>
    <w:rsid w:val="00587FA7"/>
    <w:rsid w:val="00590EC5"/>
    <w:rsid w:val="0059419B"/>
    <w:rsid w:val="005A1F0F"/>
    <w:rsid w:val="005A3255"/>
    <w:rsid w:val="005A389E"/>
    <w:rsid w:val="005A5D0D"/>
    <w:rsid w:val="005B1C02"/>
    <w:rsid w:val="005D18A9"/>
    <w:rsid w:val="005D5AFB"/>
    <w:rsid w:val="005E69AC"/>
    <w:rsid w:val="005F2646"/>
    <w:rsid w:val="005F2A80"/>
    <w:rsid w:val="005F41A3"/>
    <w:rsid w:val="005F7812"/>
    <w:rsid w:val="006025FF"/>
    <w:rsid w:val="00602B2B"/>
    <w:rsid w:val="00611EDF"/>
    <w:rsid w:val="00620B1B"/>
    <w:rsid w:val="006233CF"/>
    <w:rsid w:val="00623DA6"/>
    <w:rsid w:val="006248D3"/>
    <w:rsid w:val="00626D4B"/>
    <w:rsid w:val="00632E97"/>
    <w:rsid w:val="00635D6F"/>
    <w:rsid w:val="006412AC"/>
    <w:rsid w:val="006424E9"/>
    <w:rsid w:val="00646954"/>
    <w:rsid w:val="00655F34"/>
    <w:rsid w:val="006608EF"/>
    <w:rsid w:val="00661B4B"/>
    <w:rsid w:val="006622A4"/>
    <w:rsid w:val="006624B2"/>
    <w:rsid w:val="00663FC9"/>
    <w:rsid w:val="006658C0"/>
    <w:rsid w:val="006660D2"/>
    <w:rsid w:val="00666D5F"/>
    <w:rsid w:val="006744C3"/>
    <w:rsid w:val="0067703A"/>
    <w:rsid w:val="006819D4"/>
    <w:rsid w:val="00694C16"/>
    <w:rsid w:val="006A0574"/>
    <w:rsid w:val="006A108C"/>
    <w:rsid w:val="006A69AE"/>
    <w:rsid w:val="006B2B23"/>
    <w:rsid w:val="006B4626"/>
    <w:rsid w:val="006B4715"/>
    <w:rsid w:val="006C469D"/>
    <w:rsid w:val="006C4AE8"/>
    <w:rsid w:val="006D2162"/>
    <w:rsid w:val="006D3125"/>
    <w:rsid w:val="006D54F8"/>
    <w:rsid w:val="006E3BED"/>
    <w:rsid w:val="006E41F1"/>
    <w:rsid w:val="006E553E"/>
    <w:rsid w:val="006F0D5F"/>
    <w:rsid w:val="006F6EE5"/>
    <w:rsid w:val="0070177D"/>
    <w:rsid w:val="007020ED"/>
    <w:rsid w:val="007021BD"/>
    <w:rsid w:val="00703508"/>
    <w:rsid w:val="0070763C"/>
    <w:rsid w:val="00707C1B"/>
    <w:rsid w:val="00711471"/>
    <w:rsid w:val="00711E1A"/>
    <w:rsid w:val="00712672"/>
    <w:rsid w:val="0072304D"/>
    <w:rsid w:val="007232E2"/>
    <w:rsid w:val="00725D21"/>
    <w:rsid w:val="007260B8"/>
    <w:rsid w:val="00730D88"/>
    <w:rsid w:val="00731ABE"/>
    <w:rsid w:val="0073351C"/>
    <w:rsid w:val="00735E0B"/>
    <w:rsid w:val="0073612B"/>
    <w:rsid w:val="00740DC4"/>
    <w:rsid w:val="00741DF6"/>
    <w:rsid w:val="0074206B"/>
    <w:rsid w:val="00747747"/>
    <w:rsid w:val="00757C46"/>
    <w:rsid w:val="00760C45"/>
    <w:rsid w:val="00761105"/>
    <w:rsid w:val="00771BAC"/>
    <w:rsid w:val="00787C35"/>
    <w:rsid w:val="00790C8E"/>
    <w:rsid w:val="00793421"/>
    <w:rsid w:val="0079684E"/>
    <w:rsid w:val="007A0ABA"/>
    <w:rsid w:val="007A1612"/>
    <w:rsid w:val="007A4BF8"/>
    <w:rsid w:val="007A70E4"/>
    <w:rsid w:val="007B1C94"/>
    <w:rsid w:val="007B2338"/>
    <w:rsid w:val="007C7312"/>
    <w:rsid w:val="007D4493"/>
    <w:rsid w:val="007E23E0"/>
    <w:rsid w:val="007E433B"/>
    <w:rsid w:val="007E7B77"/>
    <w:rsid w:val="007F0CFB"/>
    <w:rsid w:val="007F6BA1"/>
    <w:rsid w:val="0080088A"/>
    <w:rsid w:val="00801E32"/>
    <w:rsid w:val="008037AA"/>
    <w:rsid w:val="008112E6"/>
    <w:rsid w:val="00820FDC"/>
    <w:rsid w:val="00832297"/>
    <w:rsid w:val="00835F96"/>
    <w:rsid w:val="00836857"/>
    <w:rsid w:val="008436DC"/>
    <w:rsid w:val="008475EB"/>
    <w:rsid w:val="00847F04"/>
    <w:rsid w:val="00852548"/>
    <w:rsid w:val="0085432E"/>
    <w:rsid w:val="00856139"/>
    <w:rsid w:val="00856E6B"/>
    <w:rsid w:val="00861435"/>
    <w:rsid w:val="00862075"/>
    <w:rsid w:val="0086429C"/>
    <w:rsid w:val="00875B87"/>
    <w:rsid w:val="008806D5"/>
    <w:rsid w:val="00886AA2"/>
    <w:rsid w:val="00890847"/>
    <w:rsid w:val="00893E0C"/>
    <w:rsid w:val="00896B28"/>
    <w:rsid w:val="008A2B9E"/>
    <w:rsid w:val="008A50A3"/>
    <w:rsid w:val="008A6C76"/>
    <w:rsid w:val="008C339F"/>
    <w:rsid w:val="008C6066"/>
    <w:rsid w:val="008C6695"/>
    <w:rsid w:val="008D30ED"/>
    <w:rsid w:val="008D6E57"/>
    <w:rsid w:val="008D7F04"/>
    <w:rsid w:val="008E0CB4"/>
    <w:rsid w:val="008E174D"/>
    <w:rsid w:val="008E283B"/>
    <w:rsid w:val="008E78C0"/>
    <w:rsid w:val="008E7D5F"/>
    <w:rsid w:val="008E7E7E"/>
    <w:rsid w:val="008F6C97"/>
    <w:rsid w:val="008F738B"/>
    <w:rsid w:val="00915D0C"/>
    <w:rsid w:val="00916CC0"/>
    <w:rsid w:val="00920FA1"/>
    <w:rsid w:val="0092170F"/>
    <w:rsid w:val="00921CD1"/>
    <w:rsid w:val="00931C19"/>
    <w:rsid w:val="00933B78"/>
    <w:rsid w:val="0093402F"/>
    <w:rsid w:val="00945EA9"/>
    <w:rsid w:val="00946B08"/>
    <w:rsid w:val="009478EA"/>
    <w:rsid w:val="00952186"/>
    <w:rsid w:val="00954CC7"/>
    <w:rsid w:val="00955A48"/>
    <w:rsid w:val="0095662A"/>
    <w:rsid w:val="00962090"/>
    <w:rsid w:val="00962EF6"/>
    <w:rsid w:val="0096534B"/>
    <w:rsid w:val="00965D53"/>
    <w:rsid w:val="00967541"/>
    <w:rsid w:val="00972517"/>
    <w:rsid w:val="009732DE"/>
    <w:rsid w:val="00974788"/>
    <w:rsid w:val="009814F7"/>
    <w:rsid w:val="00984047"/>
    <w:rsid w:val="00990918"/>
    <w:rsid w:val="00993A24"/>
    <w:rsid w:val="009944E9"/>
    <w:rsid w:val="009A601D"/>
    <w:rsid w:val="009B0A27"/>
    <w:rsid w:val="009B21F1"/>
    <w:rsid w:val="009B6891"/>
    <w:rsid w:val="009C22A1"/>
    <w:rsid w:val="009C2356"/>
    <w:rsid w:val="009C381D"/>
    <w:rsid w:val="009C4BB4"/>
    <w:rsid w:val="009C770F"/>
    <w:rsid w:val="009D5714"/>
    <w:rsid w:val="009D66E1"/>
    <w:rsid w:val="009E1780"/>
    <w:rsid w:val="009E3119"/>
    <w:rsid w:val="009E5A89"/>
    <w:rsid w:val="009E6816"/>
    <w:rsid w:val="009F631B"/>
    <w:rsid w:val="009F764F"/>
    <w:rsid w:val="00A238E5"/>
    <w:rsid w:val="00A26016"/>
    <w:rsid w:val="00A27563"/>
    <w:rsid w:val="00A3019B"/>
    <w:rsid w:val="00A343F2"/>
    <w:rsid w:val="00A47B0F"/>
    <w:rsid w:val="00A50DE9"/>
    <w:rsid w:val="00A5611A"/>
    <w:rsid w:val="00A56187"/>
    <w:rsid w:val="00A57203"/>
    <w:rsid w:val="00A57F61"/>
    <w:rsid w:val="00A61CEE"/>
    <w:rsid w:val="00A64D91"/>
    <w:rsid w:val="00A661F0"/>
    <w:rsid w:val="00A73012"/>
    <w:rsid w:val="00A8002E"/>
    <w:rsid w:val="00A863CF"/>
    <w:rsid w:val="00A90534"/>
    <w:rsid w:val="00A95C18"/>
    <w:rsid w:val="00A9640D"/>
    <w:rsid w:val="00AA557A"/>
    <w:rsid w:val="00AB0208"/>
    <w:rsid w:val="00AB6CFC"/>
    <w:rsid w:val="00AD09A6"/>
    <w:rsid w:val="00AD1958"/>
    <w:rsid w:val="00AD70A2"/>
    <w:rsid w:val="00AE7075"/>
    <w:rsid w:val="00AF1093"/>
    <w:rsid w:val="00AF65C8"/>
    <w:rsid w:val="00B2454B"/>
    <w:rsid w:val="00B364CD"/>
    <w:rsid w:val="00B36BCC"/>
    <w:rsid w:val="00B37A49"/>
    <w:rsid w:val="00B40434"/>
    <w:rsid w:val="00B41C1B"/>
    <w:rsid w:val="00B42E98"/>
    <w:rsid w:val="00B4427D"/>
    <w:rsid w:val="00B46C92"/>
    <w:rsid w:val="00B477FA"/>
    <w:rsid w:val="00B600C2"/>
    <w:rsid w:val="00B71805"/>
    <w:rsid w:val="00B750CC"/>
    <w:rsid w:val="00B80092"/>
    <w:rsid w:val="00B802D3"/>
    <w:rsid w:val="00B80BAA"/>
    <w:rsid w:val="00B83894"/>
    <w:rsid w:val="00B85396"/>
    <w:rsid w:val="00B9057C"/>
    <w:rsid w:val="00B94954"/>
    <w:rsid w:val="00B96035"/>
    <w:rsid w:val="00B9752C"/>
    <w:rsid w:val="00BA1243"/>
    <w:rsid w:val="00BA19D6"/>
    <w:rsid w:val="00BA3054"/>
    <w:rsid w:val="00BB2B13"/>
    <w:rsid w:val="00BB392E"/>
    <w:rsid w:val="00BB519A"/>
    <w:rsid w:val="00BC0CFA"/>
    <w:rsid w:val="00BD10CE"/>
    <w:rsid w:val="00BD2558"/>
    <w:rsid w:val="00BE2379"/>
    <w:rsid w:val="00BE65A2"/>
    <w:rsid w:val="00BE6717"/>
    <w:rsid w:val="00BE6DE2"/>
    <w:rsid w:val="00BE79EF"/>
    <w:rsid w:val="00BF272A"/>
    <w:rsid w:val="00BF4F35"/>
    <w:rsid w:val="00BF77C0"/>
    <w:rsid w:val="00C021F6"/>
    <w:rsid w:val="00C1131A"/>
    <w:rsid w:val="00C1669A"/>
    <w:rsid w:val="00C16BEE"/>
    <w:rsid w:val="00C17DB8"/>
    <w:rsid w:val="00C20136"/>
    <w:rsid w:val="00C25467"/>
    <w:rsid w:val="00C30B77"/>
    <w:rsid w:val="00C379BB"/>
    <w:rsid w:val="00C37A2A"/>
    <w:rsid w:val="00C41B66"/>
    <w:rsid w:val="00C42556"/>
    <w:rsid w:val="00C504AC"/>
    <w:rsid w:val="00C55923"/>
    <w:rsid w:val="00C575C5"/>
    <w:rsid w:val="00C61071"/>
    <w:rsid w:val="00C61F3D"/>
    <w:rsid w:val="00C6414A"/>
    <w:rsid w:val="00C64682"/>
    <w:rsid w:val="00C67F0D"/>
    <w:rsid w:val="00C709A8"/>
    <w:rsid w:val="00C7234D"/>
    <w:rsid w:val="00C74FDE"/>
    <w:rsid w:val="00C85AB7"/>
    <w:rsid w:val="00C91799"/>
    <w:rsid w:val="00C94284"/>
    <w:rsid w:val="00C9782E"/>
    <w:rsid w:val="00CA13B4"/>
    <w:rsid w:val="00CC0062"/>
    <w:rsid w:val="00CC0B6D"/>
    <w:rsid w:val="00CC3185"/>
    <w:rsid w:val="00CD4C23"/>
    <w:rsid w:val="00CD5449"/>
    <w:rsid w:val="00CD7D92"/>
    <w:rsid w:val="00CF29F9"/>
    <w:rsid w:val="00CF3083"/>
    <w:rsid w:val="00CF6F16"/>
    <w:rsid w:val="00D011EC"/>
    <w:rsid w:val="00D11BE2"/>
    <w:rsid w:val="00D13FE9"/>
    <w:rsid w:val="00D15FBA"/>
    <w:rsid w:val="00D1688D"/>
    <w:rsid w:val="00D248AE"/>
    <w:rsid w:val="00D328A8"/>
    <w:rsid w:val="00D34799"/>
    <w:rsid w:val="00D3481C"/>
    <w:rsid w:val="00D36303"/>
    <w:rsid w:val="00D415CB"/>
    <w:rsid w:val="00D41CAD"/>
    <w:rsid w:val="00D4630B"/>
    <w:rsid w:val="00D476C3"/>
    <w:rsid w:val="00D52C66"/>
    <w:rsid w:val="00D604E4"/>
    <w:rsid w:val="00D6136B"/>
    <w:rsid w:val="00D61DCA"/>
    <w:rsid w:val="00D63C77"/>
    <w:rsid w:val="00D64E9D"/>
    <w:rsid w:val="00D65F5E"/>
    <w:rsid w:val="00D71AC5"/>
    <w:rsid w:val="00D72FE0"/>
    <w:rsid w:val="00D737F9"/>
    <w:rsid w:val="00D7400E"/>
    <w:rsid w:val="00D9123A"/>
    <w:rsid w:val="00D927A1"/>
    <w:rsid w:val="00D9592E"/>
    <w:rsid w:val="00D97BA3"/>
    <w:rsid w:val="00DA0057"/>
    <w:rsid w:val="00DA0EA7"/>
    <w:rsid w:val="00DA69BC"/>
    <w:rsid w:val="00DB1270"/>
    <w:rsid w:val="00DC5A3E"/>
    <w:rsid w:val="00DD33EC"/>
    <w:rsid w:val="00DE1748"/>
    <w:rsid w:val="00DE54BF"/>
    <w:rsid w:val="00DF3345"/>
    <w:rsid w:val="00DF6DFD"/>
    <w:rsid w:val="00E05A50"/>
    <w:rsid w:val="00E05F48"/>
    <w:rsid w:val="00E10139"/>
    <w:rsid w:val="00E1204F"/>
    <w:rsid w:val="00E12DDA"/>
    <w:rsid w:val="00E12EF7"/>
    <w:rsid w:val="00E24D03"/>
    <w:rsid w:val="00E263E3"/>
    <w:rsid w:val="00E270CE"/>
    <w:rsid w:val="00E3260A"/>
    <w:rsid w:val="00E32867"/>
    <w:rsid w:val="00E32F61"/>
    <w:rsid w:val="00E359E0"/>
    <w:rsid w:val="00E40386"/>
    <w:rsid w:val="00E44CF7"/>
    <w:rsid w:val="00E526A2"/>
    <w:rsid w:val="00E63B7B"/>
    <w:rsid w:val="00E668B2"/>
    <w:rsid w:val="00E71058"/>
    <w:rsid w:val="00E753CD"/>
    <w:rsid w:val="00E77008"/>
    <w:rsid w:val="00E83F28"/>
    <w:rsid w:val="00E86EFF"/>
    <w:rsid w:val="00E900E5"/>
    <w:rsid w:val="00E93DA1"/>
    <w:rsid w:val="00E94B7A"/>
    <w:rsid w:val="00E96A9C"/>
    <w:rsid w:val="00EA02F4"/>
    <w:rsid w:val="00EA4DE4"/>
    <w:rsid w:val="00EA63E6"/>
    <w:rsid w:val="00EB0955"/>
    <w:rsid w:val="00EC4650"/>
    <w:rsid w:val="00ED2033"/>
    <w:rsid w:val="00ED5592"/>
    <w:rsid w:val="00ED78A8"/>
    <w:rsid w:val="00EE1785"/>
    <w:rsid w:val="00EE3798"/>
    <w:rsid w:val="00EF34A5"/>
    <w:rsid w:val="00F03A3E"/>
    <w:rsid w:val="00F03DA6"/>
    <w:rsid w:val="00F049F3"/>
    <w:rsid w:val="00F067D2"/>
    <w:rsid w:val="00F11743"/>
    <w:rsid w:val="00F11AF7"/>
    <w:rsid w:val="00F142E8"/>
    <w:rsid w:val="00F1513E"/>
    <w:rsid w:val="00F1549D"/>
    <w:rsid w:val="00F23DEB"/>
    <w:rsid w:val="00F245AE"/>
    <w:rsid w:val="00F2739B"/>
    <w:rsid w:val="00F27AFE"/>
    <w:rsid w:val="00F413EB"/>
    <w:rsid w:val="00F436E8"/>
    <w:rsid w:val="00F45132"/>
    <w:rsid w:val="00F475B1"/>
    <w:rsid w:val="00F5312C"/>
    <w:rsid w:val="00F61F96"/>
    <w:rsid w:val="00F636B0"/>
    <w:rsid w:val="00F636D4"/>
    <w:rsid w:val="00F64138"/>
    <w:rsid w:val="00F65F13"/>
    <w:rsid w:val="00F66E09"/>
    <w:rsid w:val="00F81CA6"/>
    <w:rsid w:val="00F85A7C"/>
    <w:rsid w:val="00F879CF"/>
    <w:rsid w:val="00F91491"/>
    <w:rsid w:val="00FA1104"/>
    <w:rsid w:val="00FA31C5"/>
    <w:rsid w:val="00FA3424"/>
    <w:rsid w:val="00FA4445"/>
    <w:rsid w:val="00FA46AC"/>
    <w:rsid w:val="00FA657C"/>
    <w:rsid w:val="00FB11C8"/>
    <w:rsid w:val="00FB1D15"/>
    <w:rsid w:val="00FB7848"/>
    <w:rsid w:val="00FC1A8A"/>
    <w:rsid w:val="00FC6BAA"/>
    <w:rsid w:val="00FC71E0"/>
    <w:rsid w:val="00FD4D51"/>
    <w:rsid w:val="00FD6A9E"/>
    <w:rsid w:val="00FE08B5"/>
    <w:rsid w:val="00FE1C61"/>
    <w:rsid w:val="00FF5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6A44"/>
  <w15:chartTrackingRefBased/>
  <w15:docId w15:val="{22CF0636-F568-4D92-B1B0-D1FD8D2D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E0"/>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D463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C31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EA4D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z48k">
    <w:name w:val="rz_48_k"/>
    <w:basedOn w:val="DefaultParagraphFont"/>
    <w:rsid w:val="00400BFA"/>
  </w:style>
  <w:style w:type="character" w:customStyle="1" w:styleId="rz48l">
    <w:name w:val="rz_48_l"/>
    <w:basedOn w:val="DefaultParagraphFont"/>
    <w:rsid w:val="00400BFA"/>
  </w:style>
  <w:style w:type="character" w:customStyle="1" w:styleId="ty11214">
    <w:name w:val="_ty1_1214"/>
    <w:basedOn w:val="DefaultParagraphFont"/>
    <w:rsid w:val="0035455D"/>
  </w:style>
  <w:style w:type="character" w:customStyle="1" w:styleId="ty21214">
    <w:name w:val="_ty2_1214"/>
    <w:basedOn w:val="DefaultParagraphFont"/>
    <w:rsid w:val="0035455D"/>
  </w:style>
  <w:style w:type="character" w:customStyle="1" w:styleId="ty01223">
    <w:name w:val="_ty0_1223"/>
    <w:basedOn w:val="DefaultParagraphFont"/>
    <w:rsid w:val="0035455D"/>
  </w:style>
  <w:style w:type="character" w:customStyle="1" w:styleId="ty21223">
    <w:name w:val="_ty2_1223"/>
    <w:basedOn w:val="DefaultParagraphFont"/>
    <w:rsid w:val="0035455D"/>
  </w:style>
  <w:style w:type="character" w:customStyle="1" w:styleId="ty11223">
    <w:name w:val="_ty1_1223"/>
    <w:basedOn w:val="DefaultParagraphFont"/>
    <w:rsid w:val="0035455D"/>
  </w:style>
  <w:style w:type="character" w:customStyle="1" w:styleId="ty21260">
    <w:name w:val="_ty2_1260"/>
    <w:basedOn w:val="DefaultParagraphFont"/>
    <w:rsid w:val="0035455D"/>
  </w:style>
  <w:style w:type="character" w:customStyle="1" w:styleId="ty01260">
    <w:name w:val="_ty0_1260"/>
    <w:basedOn w:val="DefaultParagraphFont"/>
    <w:rsid w:val="0035455D"/>
  </w:style>
  <w:style w:type="character" w:styleId="Hyperlink">
    <w:name w:val="Hyperlink"/>
    <w:basedOn w:val="DefaultParagraphFont"/>
    <w:uiPriority w:val="99"/>
    <w:unhideWhenUsed/>
    <w:rsid w:val="000127F5"/>
    <w:rPr>
      <w:color w:val="0000FF"/>
      <w:u w:val="single"/>
    </w:rPr>
  </w:style>
  <w:style w:type="character" w:customStyle="1" w:styleId="Heading2Char">
    <w:name w:val="Heading 2 Char"/>
    <w:basedOn w:val="DefaultParagraphFont"/>
    <w:link w:val="Heading2"/>
    <w:uiPriority w:val="9"/>
    <w:rsid w:val="00CC3185"/>
    <w:rPr>
      <w:rFonts w:ascii="Times New Roman" w:eastAsia="Times New Roman" w:hAnsi="Times New Roman" w:cs="Times New Roman"/>
      <w:b/>
      <w:bCs/>
      <w:sz w:val="36"/>
      <w:szCs w:val="36"/>
      <w:lang w:eastAsia="zh-CN"/>
    </w:rPr>
  </w:style>
  <w:style w:type="paragraph" w:styleId="NormalWeb">
    <w:name w:val="Normal (Web)"/>
    <w:basedOn w:val="Normal"/>
    <w:uiPriority w:val="99"/>
    <w:unhideWhenUsed/>
    <w:rsid w:val="00CC3185"/>
    <w:pPr>
      <w:spacing w:before="100" w:beforeAutospacing="1" w:after="100" w:afterAutospacing="1"/>
    </w:pPr>
  </w:style>
  <w:style w:type="paragraph" w:styleId="ListParagraph">
    <w:name w:val="List Paragraph"/>
    <w:basedOn w:val="Normal"/>
    <w:uiPriority w:val="34"/>
    <w:qFormat/>
    <w:rsid w:val="00297A49"/>
    <w:pPr>
      <w:spacing w:after="160" w:line="259" w:lineRule="auto"/>
      <w:ind w:left="720"/>
      <w:contextualSpacing/>
    </w:pPr>
    <w:rPr>
      <w:rFonts w:asciiTheme="minorHAnsi" w:eastAsia="SimSun" w:hAnsiTheme="minorHAnsi" w:cstheme="minorBidi"/>
      <w:sz w:val="22"/>
      <w:szCs w:val="22"/>
      <w:lang w:eastAsia="en-US"/>
    </w:rPr>
  </w:style>
  <w:style w:type="character" w:styleId="FollowedHyperlink">
    <w:name w:val="FollowedHyperlink"/>
    <w:basedOn w:val="DefaultParagraphFont"/>
    <w:uiPriority w:val="99"/>
    <w:semiHidden/>
    <w:unhideWhenUsed/>
    <w:rsid w:val="003B0F6E"/>
    <w:rPr>
      <w:color w:val="954F72" w:themeColor="followedHyperlink"/>
      <w:u w:val="single"/>
    </w:rPr>
  </w:style>
  <w:style w:type="character" w:customStyle="1" w:styleId="Heading1Char">
    <w:name w:val="Heading 1 Char"/>
    <w:basedOn w:val="DefaultParagraphFont"/>
    <w:link w:val="Heading1"/>
    <w:uiPriority w:val="9"/>
    <w:rsid w:val="00D4630B"/>
    <w:rPr>
      <w:rFonts w:asciiTheme="majorHAnsi" w:eastAsiaTheme="majorEastAsia" w:hAnsiTheme="majorHAnsi" w:cstheme="majorBidi"/>
      <w:color w:val="2F5496" w:themeColor="accent1" w:themeShade="BF"/>
      <w:sz w:val="32"/>
      <w:szCs w:val="32"/>
      <w:lang w:eastAsia="zh-CN"/>
    </w:rPr>
  </w:style>
  <w:style w:type="character" w:customStyle="1" w:styleId="month">
    <w:name w:val="month"/>
    <w:basedOn w:val="DefaultParagraphFont"/>
    <w:rsid w:val="00D4630B"/>
  </w:style>
  <w:style w:type="character" w:customStyle="1" w:styleId="day">
    <w:name w:val="day"/>
    <w:basedOn w:val="DefaultParagraphFont"/>
    <w:rsid w:val="00D4630B"/>
  </w:style>
  <w:style w:type="character" w:customStyle="1" w:styleId="year">
    <w:name w:val="year"/>
    <w:basedOn w:val="DefaultParagraphFont"/>
    <w:rsid w:val="00D4630B"/>
  </w:style>
  <w:style w:type="character" w:customStyle="1" w:styleId="Heading3Char">
    <w:name w:val="Heading 3 Char"/>
    <w:basedOn w:val="DefaultParagraphFont"/>
    <w:link w:val="Heading3"/>
    <w:uiPriority w:val="9"/>
    <w:rsid w:val="00EA4DE4"/>
    <w:rPr>
      <w:rFonts w:asciiTheme="majorHAnsi" w:eastAsiaTheme="majorEastAsia" w:hAnsiTheme="majorHAnsi" w:cstheme="majorBidi"/>
      <w:color w:val="1F3763" w:themeColor="accent1" w:themeShade="7F"/>
      <w:sz w:val="24"/>
      <w:szCs w:val="24"/>
      <w:lang w:eastAsia="zh-CN"/>
    </w:rPr>
  </w:style>
  <w:style w:type="character" w:styleId="Strong">
    <w:name w:val="Strong"/>
    <w:basedOn w:val="DefaultParagraphFont"/>
    <w:uiPriority w:val="22"/>
    <w:qFormat/>
    <w:rsid w:val="00EA4DE4"/>
    <w:rPr>
      <w:b/>
      <w:bCs/>
    </w:rPr>
  </w:style>
  <w:style w:type="character" w:styleId="UnresolvedMention">
    <w:name w:val="Unresolved Mention"/>
    <w:basedOn w:val="DefaultParagraphFont"/>
    <w:uiPriority w:val="99"/>
    <w:semiHidden/>
    <w:unhideWhenUsed/>
    <w:rsid w:val="001F334D"/>
    <w:rPr>
      <w:color w:val="605E5C"/>
      <w:shd w:val="clear" w:color="auto" w:fill="E1DFDD"/>
    </w:rPr>
  </w:style>
  <w:style w:type="character" w:customStyle="1" w:styleId="anchor-text">
    <w:name w:val="anchor-text"/>
    <w:basedOn w:val="DefaultParagraphFont"/>
    <w:rsid w:val="005A3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4216">
      <w:bodyDiv w:val="1"/>
      <w:marLeft w:val="0"/>
      <w:marRight w:val="0"/>
      <w:marTop w:val="0"/>
      <w:marBottom w:val="0"/>
      <w:divBdr>
        <w:top w:val="none" w:sz="0" w:space="0" w:color="auto"/>
        <w:left w:val="none" w:sz="0" w:space="0" w:color="auto"/>
        <w:bottom w:val="none" w:sz="0" w:space="0" w:color="auto"/>
        <w:right w:val="none" w:sz="0" w:space="0" w:color="auto"/>
      </w:divBdr>
    </w:div>
    <w:div w:id="58408855">
      <w:bodyDiv w:val="1"/>
      <w:marLeft w:val="0"/>
      <w:marRight w:val="0"/>
      <w:marTop w:val="0"/>
      <w:marBottom w:val="0"/>
      <w:divBdr>
        <w:top w:val="none" w:sz="0" w:space="0" w:color="auto"/>
        <w:left w:val="none" w:sz="0" w:space="0" w:color="auto"/>
        <w:bottom w:val="none" w:sz="0" w:space="0" w:color="auto"/>
        <w:right w:val="none" w:sz="0" w:space="0" w:color="auto"/>
      </w:divBdr>
    </w:div>
    <w:div w:id="68700414">
      <w:bodyDiv w:val="1"/>
      <w:marLeft w:val="0"/>
      <w:marRight w:val="0"/>
      <w:marTop w:val="0"/>
      <w:marBottom w:val="0"/>
      <w:divBdr>
        <w:top w:val="none" w:sz="0" w:space="0" w:color="auto"/>
        <w:left w:val="none" w:sz="0" w:space="0" w:color="auto"/>
        <w:bottom w:val="none" w:sz="0" w:space="0" w:color="auto"/>
        <w:right w:val="none" w:sz="0" w:space="0" w:color="auto"/>
      </w:divBdr>
    </w:div>
    <w:div w:id="131993855">
      <w:bodyDiv w:val="1"/>
      <w:marLeft w:val="0"/>
      <w:marRight w:val="0"/>
      <w:marTop w:val="0"/>
      <w:marBottom w:val="0"/>
      <w:divBdr>
        <w:top w:val="none" w:sz="0" w:space="0" w:color="auto"/>
        <w:left w:val="none" w:sz="0" w:space="0" w:color="auto"/>
        <w:bottom w:val="none" w:sz="0" w:space="0" w:color="auto"/>
        <w:right w:val="none" w:sz="0" w:space="0" w:color="auto"/>
      </w:divBdr>
    </w:div>
    <w:div w:id="160241205">
      <w:bodyDiv w:val="1"/>
      <w:marLeft w:val="0"/>
      <w:marRight w:val="0"/>
      <w:marTop w:val="0"/>
      <w:marBottom w:val="0"/>
      <w:divBdr>
        <w:top w:val="none" w:sz="0" w:space="0" w:color="auto"/>
        <w:left w:val="none" w:sz="0" w:space="0" w:color="auto"/>
        <w:bottom w:val="none" w:sz="0" w:space="0" w:color="auto"/>
        <w:right w:val="none" w:sz="0" w:space="0" w:color="auto"/>
      </w:divBdr>
    </w:div>
    <w:div w:id="226188116">
      <w:bodyDiv w:val="1"/>
      <w:marLeft w:val="0"/>
      <w:marRight w:val="0"/>
      <w:marTop w:val="0"/>
      <w:marBottom w:val="0"/>
      <w:divBdr>
        <w:top w:val="none" w:sz="0" w:space="0" w:color="auto"/>
        <w:left w:val="none" w:sz="0" w:space="0" w:color="auto"/>
        <w:bottom w:val="none" w:sz="0" w:space="0" w:color="auto"/>
        <w:right w:val="none" w:sz="0" w:space="0" w:color="auto"/>
      </w:divBdr>
    </w:div>
    <w:div w:id="243491889">
      <w:bodyDiv w:val="1"/>
      <w:marLeft w:val="0"/>
      <w:marRight w:val="0"/>
      <w:marTop w:val="0"/>
      <w:marBottom w:val="0"/>
      <w:divBdr>
        <w:top w:val="none" w:sz="0" w:space="0" w:color="auto"/>
        <w:left w:val="none" w:sz="0" w:space="0" w:color="auto"/>
        <w:bottom w:val="none" w:sz="0" w:space="0" w:color="auto"/>
        <w:right w:val="none" w:sz="0" w:space="0" w:color="auto"/>
      </w:divBdr>
    </w:div>
    <w:div w:id="267735549">
      <w:bodyDiv w:val="1"/>
      <w:marLeft w:val="0"/>
      <w:marRight w:val="0"/>
      <w:marTop w:val="0"/>
      <w:marBottom w:val="0"/>
      <w:divBdr>
        <w:top w:val="none" w:sz="0" w:space="0" w:color="auto"/>
        <w:left w:val="none" w:sz="0" w:space="0" w:color="auto"/>
        <w:bottom w:val="none" w:sz="0" w:space="0" w:color="auto"/>
        <w:right w:val="none" w:sz="0" w:space="0" w:color="auto"/>
      </w:divBdr>
    </w:div>
    <w:div w:id="279529028">
      <w:bodyDiv w:val="1"/>
      <w:marLeft w:val="0"/>
      <w:marRight w:val="0"/>
      <w:marTop w:val="0"/>
      <w:marBottom w:val="0"/>
      <w:divBdr>
        <w:top w:val="none" w:sz="0" w:space="0" w:color="auto"/>
        <w:left w:val="none" w:sz="0" w:space="0" w:color="auto"/>
        <w:bottom w:val="none" w:sz="0" w:space="0" w:color="auto"/>
        <w:right w:val="none" w:sz="0" w:space="0" w:color="auto"/>
      </w:divBdr>
    </w:div>
    <w:div w:id="284431349">
      <w:bodyDiv w:val="1"/>
      <w:marLeft w:val="0"/>
      <w:marRight w:val="0"/>
      <w:marTop w:val="0"/>
      <w:marBottom w:val="0"/>
      <w:divBdr>
        <w:top w:val="none" w:sz="0" w:space="0" w:color="auto"/>
        <w:left w:val="none" w:sz="0" w:space="0" w:color="auto"/>
        <w:bottom w:val="none" w:sz="0" w:space="0" w:color="auto"/>
        <w:right w:val="none" w:sz="0" w:space="0" w:color="auto"/>
      </w:divBdr>
    </w:div>
    <w:div w:id="306281325">
      <w:bodyDiv w:val="1"/>
      <w:marLeft w:val="0"/>
      <w:marRight w:val="0"/>
      <w:marTop w:val="0"/>
      <w:marBottom w:val="0"/>
      <w:divBdr>
        <w:top w:val="none" w:sz="0" w:space="0" w:color="auto"/>
        <w:left w:val="none" w:sz="0" w:space="0" w:color="auto"/>
        <w:bottom w:val="none" w:sz="0" w:space="0" w:color="auto"/>
        <w:right w:val="none" w:sz="0" w:space="0" w:color="auto"/>
      </w:divBdr>
    </w:div>
    <w:div w:id="380904594">
      <w:bodyDiv w:val="1"/>
      <w:marLeft w:val="0"/>
      <w:marRight w:val="0"/>
      <w:marTop w:val="0"/>
      <w:marBottom w:val="0"/>
      <w:divBdr>
        <w:top w:val="none" w:sz="0" w:space="0" w:color="auto"/>
        <w:left w:val="none" w:sz="0" w:space="0" w:color="auto"/>
        <w:bottom w:val="none" w:sz="0" w:space="0" w:color="auto"/>
        <w:right w:val="none" w:sz="0" w:space="0" w:color="auto"/>
      </w:divBdr>
    </w:div>
    <w:div w:id="433787235">
      <w:bodyDiv w:val="1"/>
      <w:marLeft w:val="0"/>
      <w:marRight w:val="0"/>
      <w:marTop w:val="0"/>
      <w:marBottom w:val="0"/>
      <w:divBdr>
        <w:top w:val="none" w:sz="0" w:space="0" w:color="auto"/>
        <w:left w:val="none" w:sz="0" w:space="0" w:color="auto"/>
        <w:bottom w:val="none" w:sz="0" w:space="0" w:color="auto"/>
        <w:right w:val="none" w:sz="0" w:space="0" w:color="auto"/>
      </w:divBdr>
      <w:divsChild>
        <w:div w:id="1231573103">
          <w:marLeft w:val="0"/>
          <w:marRight w:val="0"/>
          <w:marTop w:val="0"/>
          <w:marBottom w:val="48"/>
          <w:divBdr>
            <w:top w:val="none" w:sz="0" w:space="0" w:color="auto"/>
            <w:left w:val="none" w:sz="0" w:space="0" w:color="auto"/>
            <w:bottom w:val="none" w:sz="0" w:space="0" w:color="auto"/>
            <w:right w:val="none" w:sz="0" w:space="0" w:color="auto"/>
          </w:divBdr>
        </w:div>
        <w:div w:id="1221093491">
          <w:marLeft w:val="0"/>
          <w:marRight w:val="0"/>
          <w:marTop w:val="0"/>
          <w:marBottom w:val="0"/>
          <w:divBdr>
            <w:top w:val="none" w:sz="0" w:space="0" w:color="auto"/>
            <w:left w:val="none" w:sz="0" w:space="0" w:color="auto"/>
            <w:bottom w:val="none" w:sz="0" w:space="0" w:color="auto"/>
            <w:right w:val="none" w:sz="0" w:space="0" w:color="auto"/>
          </w:divBdr>
        </w:div>
      </w:divsChild>
    </w:div>
    <w:div w:id="445808214">
      <w:bodyDiv w:val="1"/>
      <w:marLeft w:val="0"/>
      <w:marRight w:val="0"/>
      <w:marTop w:val="0"/>
      <w:marBottom w:val="0"/>
      <w:divBdr>
        <w:top w:val="none" w:sz="0" w:space="0" w:color="auto"/>
        <w:left w:val="none" w:sz="0" w:space="0" w:color="auto"/>
        <w:bottom w:val="none" w:sz="0" w:space="0" w:color="auto"/>
        <w:right w:val="none" w:sz="0" w:space="0" w:color="auto"/>
      </w:divBdr>
    </w:div>
    <w:div w:id="452989073">
      <w:bodyDiv w:val="1"/>
      <w:marLeft w:val="0"/>
      <w:marRight w:val="0"/>
      <w:marTop w:val="0"/>
      <w:marBottom w:val="0"/>
      <w:divBdr>
        <w:top w:val="none" w:sz="0" w:space="0" w:color="auto"/>
        <w:left w:val="none" w:sz="0" w:space="0" w:color="auto"/>
        <w:bottom w:val="none" w:sz="0" w:space="0" w:color="auto"/>
        <w:right w:val="none" w:sz="0" w:space="0" w:color="auto"/>
      </w:divBdr>
    </w:div>
    <w:div w:id="456686235">
      <w:bodyDiv w:val="1"/>
      <w:marLeft w:val="0"/>
      <w:marRight w:val="0"/>
      <w:marTop w:val="0"/>
      <w:marBottom w:val="0"/>
      <w:divBdr>
        <w:top w:val="none" w:sz="0" w:space="0" w:color="auto"/>
        <w:left w:val="none" w:sz="0" w:space="0" w:color="auto"/>
        <w:bottom w:val="none" w:sz="0" w:space="0" w:color="auto"/>
        <w:right w:val="none" w:sz="0" w:space="0" w:color="auto"/>
      </w:divBdr>
    </w:div>
    <w:div w:id="461729717">
      <w:bodyDiv w:val="1"/>
      <w:marLeft w:val="0"/>
      <w:marRight w:val="0"/>
      <w:marTop w:val="0"/>
      <w:marBottom w:val="0"/>
      <w:divBdr>
        <w:top w:val="none" w:sz="0" w:space="0" w:color="auto"/>
        <w:left w:val="none" w:sz="0" w:space="0" w:color="auto"/>
        <w:bottom w:val="none" w:sz="0" w:space="0" w:color="auto"/>
        <w:right w:val="none" w:sz="0" w:space="0" w:color="auto"/>
      </w:divBdr>
    </w:div>
    <w:div w:id="489567289">
      <w:bodyDiv w:val="1"/>
      <w:marLeft w:val="0"/>
      <w:marRight w:val="0"/>
      <w:marTop w:val="0"/>
      <w:marBottom w:val="0"/>
      <w:divBdr>
        <w:top w:val="none" w:sz="0" w:space="0" w:color="auto"/>
        <w:left w:val="none" w:sz="0" w:space="0" w:color="auto"/>
        <w:bottom w:val="none" w:sz="0" w:space="0" w:color="auto"/>
        <w:right w:val="none" w:sz="0" w:space="0" w:color="auto"/>
      </w:divBdr>
    </w:div>
    <w:div w:id="500896699">
      <w:bodyDiv w:val="1"/>
      <w:marLeft w:val="0"/>
      <w:marRight w:val="0"/>
      <w:marTop w:val="0"/>
      <w:marBottom w:val="0"/>
      <w:divBdr>
        <w:top w:val="none" w:sz="0" w:space="0" w:color="auto"/>
        <w:left w:val="none" w:sz="0" w:space="0" w:color="auto"/>
        <w:bottom w:val="none" w:sz="0" w:space="0" w:color="auto"/>
        <w:right w:val="none" w:sz="0" w:space="0" w:color="auto"/>
      </w:divBdr>
    </w:div>
    <w:div w:id="617372248">
      <w:bodyDiv w:val="1"/>
      <w:marLeft w:val="0"/>
      <w:marRight w:val="0"/>
      <w:marTop w:val="0"/>
      <w:marBottom w:val="0"/>
      <w:divBdr>
        <w:top w:val="none" w:sz="0" w:space="0" w:color="auto"/>
        <w:left w:val="none" w:sz="0" w:space="0" w:color="auto"/>
        <w:bottom w:val="none" w:sz="0" w:space="0" w:color="auto"/>
        <w:right w:val="none" w:sz="0" w:space="0" w:color="auto"/>
      </w:divBdr>
    </w:div>
    <w:div w:id="647980647">
      <w:bodyDiv w:val="1"/>
      <w:marLeft w:val="0"/>
      <w:marRight w:val="0"/>
      <w:marTop w:val="0"/>
      <w:marBottom w:val="0"/>
      <w:divBdr>
        <w:top w:val="none" w:sz="0" w:space="0" w:color="auto"/>
        <w:left w:val="none" w:sz="0" w:space="0" w:color="auto"/>
        <w:bottom w:val="none" w:sz="0" w:space="0" w:color="auto"/>
        <w:right w:val="none" w:sz="0" w:space="0" w:color="auto"/>
      </w:divBdr>
    </w:div>
    <w:div w:id="652221980">
      <w:bodyDiv w:val="1"/>
      <w:marLeft w:val="0"/>
      <w:marRight w:val="0"/>
      <w:marTop w:val="0"/>
      <w:marBottom w:val="0"/>
      <w:divBdr>
        <w:top w:val="none" w:sz="0" w:space="0" w:color="auto"/>
        <w:left w:val="none" w:sz="0" w:space="0" w:color="auto"/>
        <w:bottom w:val="none" w:sz="0" w:space="0" w:color="auto"/>
        <w:right w:val="none" w:sz="0" w:space="0" w:color="auto"/>
      </w:divBdr>
    </w:div>
    <w:div w:id="661200772">
      <w:bodyDiv w:val="1"/>
      <w:marLeft w:val="0"/>
      <w:marRight w:val="0"/>
      <w:marTop w:val="0"/>
      <w:marBottom w:val="0"/>
      <w:divBdr>
        <w:top w:val="none" w:sz="0" w:space="0" w:color="auto"/>
        <w:left w:val="none" w:sz="0" w:space="0" w:color="auto"/>
        <w:bottom w:val="none" w:sz="0" w:space="0" w:color="auto"/>
        <w:right w:val="none" w:sz="0" w:space="0" w:color="auto"/>
      </w:divBdr>
    </w:div>
    <w:div w:id="667366858">
      <w:bodyDiv w:val="1"/>
      <w:marLeft w:val="0"/>
      <w:marRight w:val="0"/>
      <w:marTop w:val="0"/>
      <w:marBottom w:val="0"/>
      <w:divBdr>
        <w:top w:val="none" w:sz="0" w:space="0" w:color="auto"/>
        <w:left w:val="none" w:sz="0" w:space="0" w:color="auto"/>
        <w:bottom w:val="none" w:sz="0" w:space="0" w:color="auto"/>
        <w:right w:val="none" w:sz="0" w:space="0" w:color="auto"/>
      </w:divBdr>
    </w:div>
    <w:div w:id="679504814">
      <w:bodyDiv w:val="1"/>
      <w:marLeft w:val="0"/>
      <w:marRight w:val="0"/>
      <w:marTop w:val="0"/>
      <w:marBottom w:val="0"/>
      <w:divBdr>
        <w:top w:val="none" w:sz="0" w:space="0" w:color="auto"/>
        <w:left w:val="none" w:sz="0" w:space="0" w:color="auto"/>
        <w:bottom w:val="none" w:sz="0" w:space="0" w:color="auto"/>
        <w:right w:val="none" w:sz="0" w:space="0" w:color="auto"/>
      </w:divBdr>
    </w:div>
    <w:div w:id="681051356">
      <w:bodyDiv w:val="1"/>
      <w:marLeft w:val="0"/>
      <w:marRight w:val="0"/>
      <w:marTop w:val="0"/>
      <w:marBottom w:val="0"/>
      <w:divBdr>
        <w:top w:val="none" w:sz="0" w:space="0" w:color="auto"/>
        <w:left w:val="none" w:sz="0" w:space="0" w:color="auto"/>
        <w:bottom w:val="none" w:sz="0" w:space="0" w:color="auto"/>
        <w:right w:val="none" w:sz="0" w:space="0" w:color="auto"/>
      </w:divBdr>
    </w:div>
    <w:div w:id="695811953">
      <w:bodyDiv w:val="1"/>
      <w:marLeft w:val="0"/>
      <w:marRight w:val="0"/>
      <w:marTop w:val="0"/>
      <w:marBottom w:val="0"/>
      <w:divBdr>
        <w:top w:val="none" w:sz="0" w:space="0" w:color="auto"/>
        <w:left w:val="none" w:sz="0" w:space="0" w:color="auto"/>
        <w:bottom w:val="none" w:sz="0" w:space="0" w:color="auto"/>
        <w:right w:val="none" w:sz="0" w:space="0" w:color="auto"/>
      </w:divBdr>
    </w:div>
    <w:div w:id="724377073">
      <w:bodyDiv w:val="1"/>
      <w:marLeft w:val="0"/>
      <w:marRight w:val="0"/>
      <w:marTop w:val="0"/>
      <w:marBottom w:val="0"/>
      <w:divBdr>
        <w:top w:val="none" w:sz="0" w:space="0" w:color="auto"/>
        <w:left w:val="none" w:sz="0" w:space="0" w:color="auto"/>
        <w:bottom w:val="none" w:sz="0" w:space="0" w:color="auto"/>
        <w:right w:val="none" w:sz="0" w:space="0" w:color="auto"/>
      </w:divBdr>
    </w:div>
    <w:div w:id="751900267">
      <w:bodyDiv w:val="1"/>
      <w:marLeft w:val="0"/>
      <w:marRight w:val="0"/>
      <w:marTop w:val="0"/>
      <w:marBottom w:val="0"/>
      <w:divBdr>
        <w:top w:val="none" w:sz="0" w:space="0" w:color="auto"/>
        <w:left w:val="none" w:sz="0" w:space="0" w:color="auto"/>
        <w:bottom w:val="none" w:sz="0" w:space="0" w:color="auto"/>
        <w:right w:val="none" w:sz="0" w:space="0" w:color="auto"/>
      </w:divBdr>
    </w:div>
    <w:div w:id="799346251">
      <w:bodyDiv w:val="1"/>
      <w:marLeft w:val="0"/>
      <w:marRight w:val="0"/>
      <w:marTop w:val="0"/>
      <w:marBottom w:val="0"/>
      <w:divBdr>
        <w:top w:val="none" w:sz="0" w:space="0" w:color="auto"/>
        <w:left w:val="none" w:sz="0" w:space="0" w:color="auto"/>
        <w:bottom w:val="none" w:sz="0" w:space="0" w:color="auto"/>
        <w:right w:val="none" w:sz="0" w:space="0" w:color="auto"/>
      </w:divBdr>
    </w:div>
    <w:div w:id="878013378">
      <w:bodyDiv w:val="1"/>
      <w:marLeft w:val="0"/>
      <w:marRight w:val="0"/>
      <w:marTop w:val="0"/>
      <w:marBottom w:val="0"/>
      <w:divBdr>
        <w:top w:val="none" w:sz="0" w:space="0" w:color="auto"/>
        <w:left w:val="none" w:sz="0" w:space="0" w:color="auto"/>
        <w:bottom w:val="none" w:sz="0" w:space="0" w:color="auto"/>
        <w:right w:val="none" w:sz="0" w:space="0" w:color="auto"/>
      </w:divBdr>
    </w:div>
    <w:div w:id="959796738">
      <w:bodyDiv w:val="1"/>
      <w:marLeft w:val="0"/>
      <w:marRight w:val="0"/>
      <w:marTop w:val="0"/>
      <w:marBottom w:val="0"/>
      <w:divBdr>
        <w:top w:val="none" w:sz="0" w:space="0" w:color="auto"/>
        <w:left w:val="none" w:sz="0" w:space="0" w:color="auto"/>
        <w:bottom w:val="none" w:sz="0" w:space="0" w:color="auto"/>
        <w:right w:val="none" w:sz="0" w:space="0" w:color="auto"/>
      </w:divBdr>
    </w:div>
    <w:div w:id="980572286">
      <w:bodyDiv w:val="1"/>
      <w:marLeft w:val="0"/>
      <w:marRight w:val="0"/>
      <w:marTop w:val="0"/>
      <w:marBottom w:val="0"/>
      <w:divBdr>
        <w:top w:val="none" w:sz="0" w:space="0" w:color="auto"/>
        <w:left w:val="none" w:sz="0" w:space="0" w:color="auto"/>
        <w:bottom w:val="none" w:sz="0" w:space="0" w:color="auto"/>
        <w:right w:val="none" w:sz="0" w:space="0" w:color="auto"/>
      </w:divBdr>
    </w:div>
    <w:div w:id="1015304885">
      <w:bodyDiv w:val="1"/>
      <w:marLeft w:val="0"/>
      <w:marRight w:val="0"/>
      <w:marTop w:val="0"/>
      <w:marBottom w:val="0"/>
      <w:divBdr>
        <w:top w:val="none" w:sz="0" w:space="0" w:color="auto"/>
        <w:left w:val="none" w:sz="0" w:space="0" w:color="auto"/>
        <w:bottom w:val="none" w:sz="0" w:space="0" w:color="auto"/>
        <w:right w:val="none" w:sz="0" w:space="0" w:color="auto"/>
      </w:divBdr>
    </w:div>
    <w:div w:id="1034846019">
      <w:bodyDiv w:val="1"/>
      <w:marLeft w:val="0"/>
      <w:marRight w:val="0"/>
      <w:marTop w:val="0"/>
      <w:marBottom w:val="0"/>
      <w:divBdr>
        <w:top w:val="none" w:sz="0" w:space="0" w:color="auto"/>
        <w:left w:val="none" w:sz="0" w:space="0" w:color="auto"/>
        <w:bottom w:val="none" w:sz="0" w:space="0" w:color="auto"/>
        <w:right w:val="none" w:sz="0" w:space="0" w:color="auto"/>
      </w:divBdr>
    </w:div>
    <w:div w:id="1046684598">
      <w:bodyDiv w:val="1"/>
      <w:marLeft w:val="0"/>
      <w:marRight w:val="0"/>
      <w:marTop w:val="0"/>
      <w:marBottom w:val="0"/>
      <w:divBdr>
        <w:top w:val="none" w:sz="0" w:space="0" w:color="auto"/>
        <w:left w:val="none" w:sz="0" w:space="0" w:color="auto"/>
        <w:bottom w:val="none" w:sz="0" w:space="0" w:color="auto"/>
        <w:right w:val="none" w:sz="0" w:space="0" w:color="auto"/>
      </w:divBdr>
    </w:div>
    <w:div w:id="1092508080">
      <w:bodyDiv w:val="1"/>
      <w:marLeft w:val="0"/>
      <w:marRight w:val="0"/>
      <w:marTop w:val="0"/>
      <w:marBottom w:val="0"/>
      <w:divBdr>
        <w:top w:val="none" w:sz="0" w:space="0" w:color="auto"/>
        <w:left w:val="none" w:sz="0" w:space="0" w:color="auto"/>
        <w:bottom w:val="none" w:sz="0" w:space="0" w:color="auto"/>
        <w:right w:val="none" w:sz="0" w:space="0" w:color="auto"/>
      </w:divBdr>
    </w:div>
    <w:div w:id="1104617805">
      <w:bodyDiv w:val="1"/>
      <w:marLeft w:val="0"/>
      <w:marRight w:val="0"/>
      <w:marTop w:val="0"/>
      <w:marBottom w:val="0"/>
      <w:divBdr>
        <w:top w:val="none" w:sz="0" w:space="0" w:color="auto"/>
        <w:left w:val="none" w:sz="0" w:space="0" w:color="auto"/>
        <w:bottom w:val="none" w:sz="0" w:space="0" w:color="auto"/>
        <w:right w:val="none" w:sz="0" w:space="0" w:color="auto"/>
      </w:divBdr>
    </w:div>
    <w:div w:id="1107651084">
      <w:bodyDiv w:val="1"/>
      <w:marLeft w:val="0"/>
      <w:marRight w:val="0"/>
      <w:marTop w:val="0"/>
      <w:marBottom w:val="0"/>
      <w:divBdr>
        <w:top w:val="none" w:sz="0" w:space="0" w:color="auto"/>
        <w:left w:val="none" w:sz="0" w:space="0" w:color="auto"/>
        <w:bottom w:val="none" w:sz="0" w:space="0" w:color="auto"/>
        <w:right w:val="none" w:sz="0" w:space="0" w:color="auto"/>
      </w:divBdr>
    </w:div>
    <w:div w:id="1112281744">
      <w:bodyDiv w:val="1"/>
      <w:marLeft w:val="0"/>
      <w:marRight w:val="0"/>
      <w:marTop w:val="0"/>
      <w:marBottom w:val="0"/>
      <w:divBdr>
        <w:top w:val="none" w:sz="0" w:space="0" w:color="auto"/>
        <w:left w:val="none" w:sz="0" w:space="0" w:color="auto"/>
        <w:bottom w:val="none" w:sz="0" w:space="0" w:color="auto"/>
        <w:right w:val="none" w:sz="0" w:space="0" w:color="auto"/>
      </w:divBdr>
    </w:div>
    <w:div w:id="1126657969">
      <w:bodyDiv w:val="1"/>
      <w:marLeft w:val="0"/>
      <w:marRight w:val="0"/>
      <w:marTop w:val="0"/>
      <w:marBottom w:val="0"/>
      <w:divBdr>
        <w:top w:val="none" w:sz="0" w:space="0" w:color="auto"/>
        <w:left w:val="none" w:sz="0" w:space="0" w:color="auto"/>
        <w:bottom w:val="none" w:sz="0" w:space="0" w:color="auto"/>
        <w:right w:val="none" w:sz="0" w:space="0" w:color="auto"/>
      </w:divBdr>
    </w:div>
    <w:div w:id="1141968515">
      <w:bodyDiv w:val="1"/>
      <w:marLeft w:val="0"/>
      <w:marRight w:val="0"/>
      <w:marTop w:val="0"/>
      <w:marBottom w:val="0"/>
      <w:divBdr>
        <w:top w:val="none" w:sz="0" w:space="0" w:color="auto"/>
        <w:left w:val="none" w:sz="0" w:space="0" w:color="auto"/>
        <w:bottom w:val="none" w:sz="0" w:space="0" w:color="auto"/>
        <w:right w:val="none" w:sz="0" w:space="0" w:color="auto"/>
      </w:divBdr>
    </w:div>
    <w:div w:id="1143423184">
      <w:bodyDiv w:val="1"/>
      <w:marLeft w:val="0"/>
      <w:marRight w:val="0"/>
      <w:marTop w:val="0"/>
      <w:marBottom w:val="0"/>
      <w:divBdr>
        <w:top w:val="none" w:sz="0" w:space="0" w:color="auto"/>
        <w:left w:val="none" w:sz="0" w:space="0" w:color="auto"/>
        <w:bottom w:val="none" w:sz="0" w:space="0" w:color="auto"/>
        <w:right w:val="none" w:sz="0" w:space="0" w:color="auto"/>
      </w:divBdr>
    </w:div>
    <w:div w:id="1166049226">
      <w:bodyDiv w:val="1"/>
      <w:marLeft w:val="0"/>
      <w:marRight w:val="0"/>
      <w:marTop w:val="0"/>
      <w:marBottom w:val="0"/>
      <w:divBdr>
        <w:top w:val="none" w:sz="0" w:space="0" w:color="auto"/>
        <w:left w:val="none" w:sz="0" w:space="0" w:color="auto"/>
        <w:bottom w:val="none" w:sz="0" w:space="0" w:color="auto"/>
        <w:right w:val="none" w:sz="0" w:space="0" w:color="auto"/>
      </w:divBdr>
    </w:div>
    <w:div w:id="1166093824">
      <w:bodyDiv w:val="1"/>
      <w:marLeft w:val="0"/>
      <w:marRight w:val="0"/>
      <w:marTop w:val="0"/>
      <w:marBottom w:val="0"/>
      <w:divBdr>
        <w:top w:val="none" w:sz="0" w:space="0" w:color="auto"/>
        <w:left w:val="none" w:sz="0" w:space="0" w:color="auto"/>
        <w:bottom w:val="none" w:sz="0" w:space="0" w:color="auto"/>
        <w:right w:val="none" w:sz="0" w:space="0" w:color="auto"/>
      </w:divBdr>
    </w:div>
    <w:div w:id="1171482158">
      <w:bodyDiv w:val="1"/>
      <w:marLeft w:val="0"/>
      <w:marRight w:val="0"/>
      <w:marTop w:val="0"/>
      <w:marBottom w:val="0"/>
      <w:divBdr>
        <w:top w:val="none" w:sz="0" w:space="0" w:color="auto"/>
        <w:left w:val="none" w:sz="0" w:space="0" w:color="auto"/>
        <w:bottom w:val="none" w:sz="0" w:space="0" w:color="auto"/>
        <w:right w:val="none" w:sz="0" w:space="0" w:color="auto"/>
      </w:divBdr>
    </w:div>
    <w:div w:id="1183393828">
      <w:bodyDiv w:val="1"/>
      <w:marLeft w:val="0"/>
      <w:marRight w:val="0"/>
      <w:marTop w:val="0"/>
      <w:marBottom w:val="0"/>
      <w:divBdr>
        <w:top w:val="none" w:sz="0" w:space="0" w:color="auto"/>
        <w:left w:val="none" w:sz="0" w:space="0" w:color="auto"/>
        <w:bottom w:val="none" w:sz="0" w:space="0" w:color="auto"/>
        <w:right w:val="none" w:sz="0" w:space="0" w:color="auto"/>
      </w:divBdr>
    </w:div>
    <w:div w:id="1228881659">
      <w:bodyDiv w:val="1"/>
      <w:marLeft w:val="0"/>
      <w:marRight w:val="0"/>
      <w:marTop w:val="0"/>
      <w:marBottom w:val="0"/>
      <w:divBdr>
        <w:top w:val="none" w:sz="0" w:space="0" w:color="auto"/>
        <w:left w:val="none" w:sz="0" w:space="0" w:color="auto"/>
        <w:bottom w:val="none" w:sz="0" w:space="0" w:color="auto"/>
        <w:right w:val="none" w:sz="0" w:space="0" w:color="auto"/>
      </w:divBdr>
    </w:div>
    <w:div w:id="1279605006">
      <w:bodyDiv w:val="1"/>
      <w:marLeft w:val="0"/>
      <w:marRight w:val="0"/>
      <w:marTop w:val="0"/>
      <w:marBottom w:val="0"/>
      <w:divBdr>
        <w:top w:val="none" w:sz="0" w:space="0" w:color="auto"/>
        <w:left w:val="none" w:sz="0" w:space="0" w:color="auto"/>
        <w:bottom w:val="none" w:sz="0" w:space="0" w:color="auto"/>
        <w:right w:val="none" w:sz="0" w:space="0" w:color="auto"/>
      </w:divBdr>
      <w:divsChild>
        <w:div w:id="1751928727">
          <w:marLeft w:val="0"/>
          <w:marRight w:val="-15"/>
          <w:marTop w:val="0"/>
          <w:marBottom w:val="0"/>
          <w:divBdr>
            <w:top w:val="none" w:sz="0" w:space="0" w:color="auto"/>
            <w:left w:val="none" w:sz="0" w:space="0" w:color="auto"/>
            <w:bottom w:val="none" w:sz="0" w:space="0" w:color="auto"/>
            <w:right w:val="none" w:sz="0" w:space="0" w:color="auto"/>
          </w:divBdr>
        </w:div>
        <w:div w:id="2087988965">
          <w:marLeft w:val="0"/>
          <w:marRight w:val="-15"/>
          <w:marTop w:val="0"/>
          <w:marBottom w:val="0"/>
          <w:divBdr>
            <w:top w:val="none" w:sz="0" w:space="0" w:color="auto"/>
            <w:left w:val="none" w:sz="0" w:space="0" w:color="auto"/>
            <w:bottom w:val="none" w:sz="0" w:space="0" w:color="auto"/>
            <w:right w:val="none" w:sz="0" w:space="0" w:color="auto"/>
          </w:divBdr>
        </w:div>
        <w:div w:id="278340338">
          <w:marLeft w:val="0"/>
          <w:marRight w:val="-15"/>
          <w:marTop w:val="0"/>
          <w:marBottom w:val="0"/>
          <w:divBdr>
            <w:top w:val="none" w:sz="0" w:space="0" w:color="auto"/>
            <w:left w:val="none" w:sz="0" w:space="0" w:color="auto"/>
            <w:bottom w:val="none" w:sz="0" w:space="0" w:color="auto"/>
            <w:right w:val="none" w:sz="0" w:space="0" w:color="auto"/>
          </w:divBdr>
        </w:div>
        <w:div w:id="536890356">
          <w:marLeft w:val="0"/>
          <w:marRight w:val="-15"/>
          <w:marTop w:val="0"/>
          <w:marBottom w:val="0"/>
          <w:divBdr>
            <w:top w:val="none" w:sz="0" w:space="0" w:color="auto"/>
            <w:left w:val="none" w:sz="0" w:space="0" w:color="auto"/>
            <w:bottom w:val="none" w:sz="0" w:space="0" w:color="auto"/>
            <w:right w:val="none" w:sz="0" w:space="0" w:color="auto"/>
          </w:divBdr>
        </w:div>
        <w:div w:id="2072077789">
          <w:marLeft w:val="0"/>
          <w:marRight w:val="-15"/>
          <w:marTop w:val="0"/>
          <w:marBottom w:val="0"/>
          <w:divBdr>
            <w:top w:val="none" w:sz="0" w:space="0" w:color="auto"/>
            <w:left w:val="none" w:sz="0" w:space="0" w:color="auto"/>
            <w:bottom w:val="none" w:sz="0" w:space="0" w:color="auto"/>
            <w:right w:val="none" w:sz="0" w:space="0" w:color="auto"/>
          </w:divBdr>
        </w:div>
        <w:div w:id="1936472726">
          <w:marLeft w:val="0"/>
          <w:marRight w:val="-15"/>
          <w:marTop w:val="0"/>
          <w:marBottom w:val="0"/>
          <w:divBdr>
            <w:top w:val="none" w:sz="0" w:space="0" w:color="auto"/>
            <w:left w:val="none" w:sz="0" w:space="0" w:color="auto"/>
            <w:bottom w:val="none" w:sz="0" w:space="0" w:color="auto"/>
            <w:right w:val="none" w:sz="0" w:space="0" w:color="auto"/>
          </w:divBdr>
        </w:div>
        <w:div w:id="721059693">
          <w:marLeft w:val="0"/>
          <w:marRight w:val="-15"/>
          <w:marTop w:val="0"/>
          <w:marBottom w:val="0"/>
          <w:divBdr>
            <w:top w:val="none" w:sz="0" w:space="0" w:color="auto"/>
            <w:left w:val="none" w:sz="0" w:space="0" w:color="auto"/>
            <w:bottom w:val="none" w:sz="0" w:space="0" w:color="auto"/>
            <w:right w:val="none" w:sz="0" w:space="0" w:color="auto"/>
          </w:divBdr>
        </w:div>
        <w:div w:id="331839043">
          <w:marLeft w:val="0"/>
          <w:marRight w:val="-15"/>
          <w:marTop w:val="0"/>
          <w:marBottom w:val="0"/>
          <w:divBdr>
            <w:top w:val="none" w:sz="0" w:space="0" w:color="auto"/>
            <w:left w:val="none" w:sz="0" w:space="0" w:color="auto"/>
            <w:bottom w:val="none" w:sz="0" w:space="0" w:color="auto"/>
            <w:right w:val="none" w:sz="0" w:space="0" w:color="auto"/>
          </w:divBdr>
        </w:div>
        <w:div w:id="300966251">
          <w:marLeft w:val="0"/>
          <w:marRight w:val="-15"/>
          <w:marTop w:val="0"/>
          <w:marBottom w:val="0"/>
          <w:divBdr>
            <w:top w:val="none" w:sz="0" w:space="0" w:color="auto"/>
            <w:left w:val="none" w:sz="0" w:space="0" w:color="auto"/>
            <w:bottom w:val="none" w:sz="0" w:space="0" w:color="auto"/>
            <w:right w:val="none" w:sz="0" w:space="0" w:color="auto"/>
          </w:divBdr>
        </w:div>
        <w:div w:id="1525360605">
          <w:marLeft w:val="0"/>
          <w:marRight w:val="-15"/>
          <w:marTop w:val="0"/>
          <w:marBottom w:val="0"/>
          <w:divBdr>
            <w:top w:val="none" w:sz="0" w:space="0" w:color="auto"/>
            <w:left w:val="none" w:sz="0" w:space="0" w:color="auto"/>
            <w:bottom w:val="none" w:sz="0" w:space="0" w:color="auto"/>
            <w:right w:val="none" w:sz="0" w:space="0" w:color="auto"/>
          </w:divBdr>
        </w:div>
        <w:div w:id="1682119763">
          <w:marLeft w:val="0"/>
          <w:marRight w:val="-15"/>
          <w:marTop w:val="0"/>
          <w:marBottom w:val="0"/>
          <w:divBdr>
            <w:top w:val="none" w:sz="0" w:space="0" w:color="auto"/>
            <w:left w:val="none" w:sz="0" w:space="0" w:color="auto"/>
            <w:bottom w:val="none" w:sz="0" w:space="0" w:color="auto"/>
            <w:right w:val="none" w:sz="0" w:space="0" w:color="auto"/>
          </w:divBdr>
        </w:div>
        <w:div w:id="739594568">
          <w:marLeft w:val="0"/>
          <w:marRight w:val="-15"/>
          <w:marTop w:val="0"/>
          <w:marBottom w:val="0"/>
          <w:divBdr>
            <w:top w:val="none" w:sz="0" w:space="0" w:color="auto"/>
            <w:left w:val="none" w:sz="0" w:space="0" w:color="auto"/>
            <w:bottom w:val="none" w:sz="0" w:space="0" w:color="auto"/>
            <w:right w:val="none" w:sz="0" w:space="0" w:color="auto"/>
          </w:divBdr>
        </w:div>
        <w:div w:id="1520506661">
          <w:marLeft w:val="0"/>
          <w:marRight w:val="-15"/>
          <w:marTop w:val="0"/>
          <w:marBottom w:val="0"/>
          <w:divBdr>
            <w:top w:val="none" w:sz="0" w:space="0" w:color="auto"/>
            <w:left w:val="none" w:sz="0" w:space="0" w:color="auto"/>
            <w:bottom w:val="none" w:sz="0" w:space="0" w:color="auto"/>
            <w:right w:val="none" w:sz="0" w:space="0" w:color="auto"/>
          </w:divBdr>
        </w:div>
        <w:div w:id="2088845176">
          <w:marLeft w:val="0"/>
          <w:marRight w:val="-15"/>
          <w:marTop w:val="0"/>
          <w:marBottom w:val="0"/>
          <w:divBdr>
            <w:top w:val="none" w:sz="0" w:space="0" w:color="auto"/>
            <w:left w:val="none" w:sz="0" w:space="0" w:color="auto"/>
            <w:bottom w:val="none" w:sz="0" w:space="0" w:color="auto"/>
            <w:right w:val="none" w:sz="0" w:space="0" w:color="auto"/>
          </w:divBdr>
        </w:div>
        <w:div w:id="1908539822">
          <w:marLeft w:val="0"/>
          <w:marRight w:val="-15"/>
          <w:marTop w:val="0"/>
          <w:marBottom w:val="0"/>
          <w:divBdr>
            <w:top w:val="none" w:sz="0" w:space="0" w:color="auto"/>
            <w:left w:val="none" w:sz="0" w:space="0" w:color="auto"/>
            <w:bottom w:val="none" w:sz="0" w:space="0" w:color="auto"/>
            <w:right w:val="none" w:sz="0" w:space="0" w:color="auto"/>
          </w:divBdr>
        </w:div>
        <w:div w:id="154339199">
          <w:marLeft w:val="0"/>
          <w:marRight w:val="-15"/>
          <w:marTop w:val="0"/>
          <w:marBottom w:val="0"/>
          <w:divBdr>
            <w:top w:val="none" w:sz="0" w:space="0" w:color="auto"/>
            <w:left w:val="none" w:sz="0" w:space="0" w:color="auto"/>
            <w:bottom w:val="none" w:sz="0" w:space="0" w:color="auto"/>
            <w:right w:val="none" w:sz="0" w:space="0" w:color="auto"/>
          </w:divBdr>
        </w:div>
        <w:div w:id="329022915">
          <w:marLeft w:val="0"/>
          <w:marRight w:val="-15"/>
          <w:marTop w:val="0"/>
          <w:marBottom w:val="0"/>
          <w:divBdr>
            <w:top w:val="none" w:sz="0" w:space="0" w:color="auto"/>
            <w:left w:val="none" w:sz="0" w:space="0" w:color="auto"/>
            <w:bottom w:val="none" w:sz="0" w:space="0" w:color="auto"/>
            <w:right w:val="none" w:sz="0" w:space="0" w:color="auto"/>
          </w:divBdr>
        </w:div>
        <w:div w:id="1397432232">
          <w:marLeft w:val="0"/>
          <w:marRight w:val="-15"/>
          <w:marTop w:val="0"/>
          <w:marBottom w:val="0"/>
          <w:divBdr>
            <w:top w:val="none" w:sz="0" w:space="0" w:color="auto"/>
            <w:left w:val="none" w:sz="0" w:space="0" w:color="auto"/>
            <w:bottom w:val="none" w:sz="0" w:space="0" w:color="auto"/>
            <w:right w:val="none" w:sz="0" w:space="0" w:color="auto"/>
          </w:divBdr>
        </w:div>
        <w:div w:id="1898399870">
          <w:marLeft w:val="0"/>
          <w:marRight w:val="-15"/>
          <w:marTop w:val="0"/>
          <w:marBottom w:val="0"/>
          <w:divBdr>
            <w:top w:val="none" w:sz="0" w:space="0" w:color="auto"/>
            <w:left w:val="none" w:sz="0" w:space="0" w:color="auto"/>
            <w:bottom w:val="none" w:sz="0" w:space="0" w:color="auto"/>
            <w:right w:val="none" w:sz="0" w:space="0" w:color="auto"/>
          </w:divBdr>
        </w:div>
        <w:div w:id="870798800">
          <w:marLeft w:val="0"/>
          <w:marRight w:val="-15"/>
          <w:marTop w:val="0"/>
          <w:marBottom w:val="0"/>
          <w:divBdr>
            <w:top w:val="none" w:sz="0" w:space="0" w:color="auto"/>
            <w:left w:val="none" w:sz="0" w:space="0" w:color="auto"/>
            <w:bottom w:val="none" w:sz="0" w:space="0" w:color="auto"/>
            <w:right w:val="none" w:sz="0" w:space="0" w:color="auto"/>
          </w:divBdr>
        </w:div>
        <w:div w:id="528295530">
          <w:marLeft w:val="0"/>
          <w:marRight w:val="-15"/>
          <w:marTop w:val="0"/>
          <w:marBottom w:val="0"/>
          <w:divBdr>
            <w:top w:val="none" w:sz="0" w:space="0" w:color="auto"/>
            <w:left w:val="none" w:sz="0" w:space="0" w:color="auto"/>
            <w:bottom w:val="none" w:sz="0" w:space="0" w:color="auto"/>
            <w:right w:val="none" w:sz="0" w:space="0" w:color="auto"/>
          </w:divBdr>
        </w:div>
        <w:div w:id="849567904">
          <w:marLeft w:val="0"/>
          <w:marRight w:val="-15"/>
          <w:marTop w:val="0"/>
          <w:marBottom w:val="0"/>
          <w:divBdr>
            <w:top w:val="none" w:sz="0" w:space="0" w:color="auto"/>
            <w:left w:val="none" w:sz="0" w:space="0" w:color="auto"/>
            <w:bottom w:val="none" w:sz="0" w:space="0" w:color="auto"/>
            <w:right w:val="none" w:sz="0" w:space="0" w:color="auto"/>
          </w:divBdr>
        </w:div>
        <w:div w:id="61177393">
          <w:marLeft w:val="0"/>
          <w:marRight w:val="-15"/>
          <w:marTop w:val="0"/>
          <w:marBottom w:val="0"/>
          <w:divBdr>
            <w:top w:val="none" w:sz="0" w:space="0" w:color="auto"/>
            <w:left w:val="none" w:sz="0" w:space="0" w:color="auto"/>
            <w:bottom w:val="none" w:sz="0" w:space="0" w:color="auto"/>
            <w:right w:val="none" w:sz="0" w:space="0" w:color="auto"/>
          </w:divBdr>
        </w:div>
        <w:div w:id="1248148968">
          <w:marLeft w:val="0"/>
          <w:marRight w:val="-15"/>
          <w:marTop w:val="0"/>
          <w:marBottom w:val="0"/>
          <w:divBdr>
            <w:top w:val="none" w:sz="0" w:space="0" w:color="auto"/>
            <w:left w:val="none" w:sz="0" w:space="0" w:color="auto"/>
            <w:bottom w:val="none" w:sz="0" w:space="0" w:color="auto"/>
            <w:right w:val="none" w:sz="0" w:space="0" w:color="auto"/>
          </w:divBdr>
        </w:div>
        <w:div w:id="339938678">
          <w:marLeft w:val="0"/>
          <w:marRight w:val="-15"/>
          <w:marTop w:val="0"/>
          <w:marBottom w:val="0"/>
          <w:divBdr>
            <w:top w:val="none" w:sz="0" w:space="0" w:color="auto"/>
            <w:left w:val="none" w:sz="0" w:space="0" w:color="auto"/>
            <w:bottom w:val="none" w:sz="0" w:space="0" w:color="auto"/>
            <w:right w:val="none" w:sz="0" w:space="0" w:color="auto"/>
          </w:divBdr>
        </w:div>
        <w:div w:id="1826585634">
          <w:marLeft w:val="0"/>
          <w:marRight w:val="-15"/>
          <w:marTop w:val="0"/>
          <w:marBottom w:val="0"/>
          <w:divBdr>
            <w:top w:val="none" w:sz="0" w:space="0" w:color="auto"/>
            <w:left w:val="none" w:sz="0" w:space="0" w:color="auto"/>
            <w:bottom w:val="none" w:sz="0" w:space="0" w:color="auto"/>
            <w:right w:val="none" w:sz="0" w:space="0" w:color="auto"/>
          </w:divBdr>
        </w:div>
        <w:div w:id="1638217093">
          <w:marLeft w:val="0"/>
          <w:marRight w:val="-15"/>
          <w:marTop w:val="0"/>
          <w:marBottom w:val="0"/>
          <w:divBdr>
            <w:top w:val="none" w:sz="0" w:space="0" w:color="auto"/>
            <w:left w:val="none" w:sz="0" w:space="0" w:color="auto"/>
            <w:bottom w:val="none" w:sz="0" w:space="0" w:color="auto"/>
            <w:right w:val="none" w:sz="0" w:space="0" w:color="auto"/>
          </w:divBdr>
        </w:div>
        <w:div w:id="1208880538">
          <w:marLeft w:val="0"/>
          <w:marRight w:val="-15"/>
          <w:marTop w:val="0"/>
          <w:marBottom w:val="0"/>
          <w:divBdr>
            <w:top w:val="none" w:sz="0" w:space="0" w:color="auto"/>
            <w:left w:val="none" w:sz="0" w:space="0" w:color="auto"/>
            <w:bottom w:val="none" w:sz="0" w:space="0" w:color="auto"/>
            <w:right w:val="none" w:sz="0" w:space="0" w:color="auto"/>
          </w:divBdr>
        </w:div>
        <w:div w:id="1295328150">
          <w:marLeft w:val="0"/>
          <w:marRight w:val="-15"/>
          <w:marTop w:val="0"/>
          <w:marBottom w:val="0"/>
          <w:divBdr>
            <w:top w:val="none" w:sz="0" w:space="0" w:color="auto"/>
            <w:left w:val="none" w:sz="0" w:space="0" w:color="auto"/>
            <w:bottom w:val="none" w:sz="0" w:space="0" w:color="auto"/>
            <w:right w:val="none" w:sz="0" w:space="0" w:color="auto"/>
          </w:divBdr>
        </w:div>
        <w:div w:id="1285036269">
          <w:marLeft w:val="0"/>
          <w:marRight w:val="-15"/>
          <w:marTop w:val="0"/>
          <w:marBottom w:val="0"/>
          <w:divBdr>
            <w:top w:val="none" w:sz="0" w:space="0" w:color="auto"/>
            <w:left w:val="none" w:sz="0" w:space="0" w:color="auto"/>
            <w:bottom w:val="none" w:sz="0" w:space="0" w:color="auto"/>
            <w:right w:val="none" w:sz="0" w:space="0" w:color="auto"/>
          </w:divBdr>
        </w:div>
        <w:div w:id="1205095439">
          <w:marLeft w:val="0"/>
          <w:marRight w:val="-15"/>
          <w:marTop w:val="0"/>
          <w:marBottom w:val="0"/>
          <w:divBdr>
            <w:top w:val="none" w:sz="0" w:space="0" w:color="auto"/>
            <w:left w:val="none" w:sz="0" w:space="0" w:color="auto"/>
            <w:bottom w:val="none" w:sz="0" w:space="0" w:color="auto"/>
            <w:right w:val="none" w:sz="0" w:space="0" w:color="auto"/>
          </w:divBdr>
        </w:div>
        <w:div w:id="1896120063">
          <w:marLeft w:val="0"/>
          <w:marRight w:val="-15"/>
          <w:marTop w:val="0"/>
          <w:marBottom w:val="0"/>
          <w:divBdr>
            <w:top w:val="none" w:sz="0" w:space="0" w:color="auto"/>
            <w:left w:val="none" w:sz="0" w:space="0" w:color="auto"/>
            <w:bottom w:val="none" w:sz="0" w:space="0" w:color="auto"/>
            <w:right w:val="none" w:sz="0" w:space="0" w:color="auto"/>
          </w:divBdr>
        </w:div>
        <w:div w:id="570312267">
          <w:marLeft w:val="0"/>
          <w:marRight w:val="-15"/>
          <w:marTop w:val="0"/>
          <w:marBottom w:val="0"/>
          <w:divBdr>
            <w:top w:val="none" w:sz="0" w:space="0" w:color="auto"/>
            <w:left w:val="none" w:sz="0" w:space="0" w:color="auto"/>
            <w:bottom w:val="none" w:sz="0" w:space="0" w:color="auto"/>
            <w:right w:val="none" w:sz="0" w:space="0" w:color="auto"/>
          </w:divBdr>
        </w:div>
        <w:div w:id="1075861686">
          <w:marLeft w:val="0"/>
          <w:marRight w:val="-15"/>
          <w:marTop w:val="0"/>
          <w:marBottom w:val="0"/>
          <w:divBdr>
            <w:top w:val="none" w:sz="0" w:space="0" w:color="auto"/>
            <w:left w:val="none" w:sz="0" w:space="0" w:color="auto"/>
            <w:bottom w:val="none" w:sz="0" w:space="0" w:color="auto"/>
            <w:right w:val="none" w:sz="0" w:space="0" w:color="auto"/>
          </w:divBdr>
        </w:div>
        <w:div w:id="1695030743">
          <w:marLeft w:val="0"/>
          <w:marRight w:val="-15"/>
          <w:marTop w:val="0"/>
          <w:marBottom w:val="0"/>
          <w:divBdr>
            <w:top w:val="none" w:sz="0" w:space="0" w:color="auto"/>
            <w:left w:val="none" w:sz="0" w:space="0" w:color="auto"/>
            <w:bottom w:val="none" w:sz="0" w:space="0" w:color="auto"/>
            <w:right w:val="none" w:sz="0" w:space="0" w:color="auto"/>
          </w:divBdr>
        </w:div>
        <w:div w:id="1546454124">
          <w:marLeft w:val="0"/>
          <w:marRight w:val="-15"/>
          <w:marTop w:val="0"/>
          <w:marBottom w:val="0"/>
          <w:divBdr>
            <w:top w:val="none" w:sz="0" w:space="0" w:color="auto"/>
            <w:left w:val="none" w:sz="0" w:space="0" w:color="auto"/>
            <w:bottom w:val="none" w:sz="0" w:space="0" w:color="auto"/>
            <w:right w:val="none" w:sz="0" w:space="0" w:color="auto"/>
          </w:divBdr>
        </w:div>
        <w:div w:id="737630651">
          <w:marLeft w:val="0"/>
          <w:marRight w:val="-15"/>
          <w:marTop w:val="0"/>
          <w:marBottom w:val="0"/>
          <w:divBdr>
            <w:top w:val="none" w:sz="0" w:space="0" w:color="auto"/>
            <w:left w:val="none" w:sz="0" w:space="0" w:color="auto"/>
            <w:bottom w:val="none" w:sz="0" w:space="0" w:color="auto"/>
            <w:right w:val="none" w:sz="0" w:space="0" w:color="auto"/>
          </w:divBdr>
        </w:div>
        <w:div w:id="88356555">
          <w:marLeft w:val="0"/>
          <w:marRight w:val="-15"/>
          <w:marTop w:val="0"/>
          <w:marBottom w:val="0"/>
          <w:divBdr>
            <w:top w:val="none" w:sz="0" w:space="0" w:color="auto"/>
            <w:left w:val="none" w:sz="0" w:space="0" w:color="auto"/>
            <w:bottom w:val="none" w:sz="0" w:space="0" w:color="auto"/>
            <w:right w:val="none" w:sz="0" w:space="0" w:color="auto"/>
          </w:divBdr>
        </w:div>
        <w:div w:id="760640468">
          <w:marLeft w:val="0"/>
          <w:marRight w:val="-15"/>
          <w:marTop w:val="0"/>
          <w:marBottom w:val="0"/>
          <w:divBdr>
            <w:top w:val="none" w:sz="0" w:space="0" w:color="auto"/>
            <w:left w:val="none" w:sz="0" w:space="0" w:color="auto"/>
            <w:bottom w:val="none" w:sz="0" w:space="0" w:color="auto"/>
            <w:right w:val="none" w:sz="0" w:space="0" w:color="auto"/>
          </w:divBdr>
        </w:div>
        <w:div w:id="609244662">
          <w:marLeft w:val="0"/>
          <w:marRight w:val="-15"/>
          <w:marTop w:val="0"/>
          <w:marBottom w:val="0"/>
          <w:divBdr>
            <w:top w:val="none" w:sz="0" w:space="0" w:color="auto"/>
            <w:left w:val="none" w:sz="0" w:space="0" w:color="auto"/>
            <w:bottom w:val="none" w:sz="0" w:space="0" w:color="auto"/>
            <w:right w:val="none" w:sz="0" w:space="0" w:color="auto"/>
          </w:divBdr>
        </w:div>
        <w:div w:id="1456220718">
          <w:marLeft w:val="0"/>
          <w:marRight w:val="-15"/>
          <w:marTop w:val="0"/>
          <w:marBottom w:val="0"/>
          <w:divBdr>
            <w:top w:val="none" w:sz="0" w:space="0" w:color="auto"/>
            <w:left w:val="none" w:sz="0" w:space="0" w:color="auto"/>
            <w:bottom w:val="none" w:sz="0" w:space="0" w:color="auto"/>
            <w:right w:val="none" w:sz="0" w:space="0" w:color="auto"/>
          </w:divBdr>
        </w:div>
        <w:div w:id="1132483200">
          <w:marLeft w:val="0"/>
          <w:marRight w:val="-15"/>
          <w:marTop w:val="0"/>
          <w:marBottom w:val="0"/>
          <w:divBdr>
            <w:top w:val="none" w:sz="0" w:space="0" w:color="auto"/>
            <w:left w:val="none" w:sz="0" w:space="0" w:color="auto"/>
            <w:bottom w:val="none" w:sz="0" w:space="0" w:color="auto"/>
            <w:right w:val="none" w:sz="0" w:space="0" w:color="auto"/>
          </w:divBdr>
        </w:div>
        <w:div w:id="439110627">
          <w:marLeft w:val="0"/>
          <w:marRight w:val="-15"/>
          <w:marTop w:val="0"/>
          <w:marBottom w:val="0"/>
          <w:divBdr>
            <w:top w:val="none" w:sz="0" w:space="0" w:color="auto"/>
            <w:left w:val="none" w:sz="0" w:space="0" w:color="auto"/>
            <w:bottom w:val="none" w:sz="0" w:space="0" w:color="auto"/>
            <w:right w:val="none" w:sz="0" w:space="0" w:color="auto"/>
          </w:divBdr>
        </w:div>
        <w:div w:id="1539270079">
          <w:marLeft w:val="0"/>
          <w:marRight w:val="-15"/>
          <w:marTop w:val="0"/>
          <w:marBottom w:val="0"/>
          <w:divBdr>
            <w:top w:val="none" w:sz="0" w:space="0" w:color="auto"/>
            <w:left w:val="none" w:sz="0" w:space="0" w:color="auto"/>
            <w:bottom w:val="none" w:sz="0" w:space="0" w:color="auto"/>
            <w:right w:val="none" w:sz="0" w:space="0" w:color="auto"/>
          </w:divBdr>
        </w:div>
      </w:divsChild>
    </w:div>
    <w:div w:id="1294218278">
      <w:bodyDiv w:val="1"/>
      <w:marLeft w:val="0"/>
      <w:marRight w:val="0"/>
      <w:marTop w:val="0"/>
      <w:marBottom w:val="0"/>
      <w:divBdr>
        <w:top w:val="none" w:sz="0" w:space="0" w:color="auto"/>
        <w:left w:val="none" w:sz="0" w:space="0" w:color="auto"/>
        <w:bottom w:val="none" w:sz="0" w:space="0" w:color="auto"/>
        <w:right w:val="none" w:sz="0" w:space="0" w:color="auto"/>
      </w:divBdr>
    </w:div>
    <w:div w:id="1339121018">
      <w:bodyDiv w:val="1"/>
      <w:marLeft w:val="0"/>
      <w:marRight w:val="0"/>
      <w:marTop w:val="0"/>
      <w:marBottom w:val="0"/>
      <w:divBdr>
        <w:top w:val="none" w:sz="0" w:space="0" w:color="auto"/>
        <w:left w:val="none" w:sz="0" w:space="0" w:color="auto"/>
        <w:bottom w:val="none" w:sz="0" w:space="0" w:color="auto"/>
        <w:right w:val="none" w:sz="0" w:space="0" w:color="auto"/>
      </w:divBdr>
    </w:div>
    <w:div w:id="1351757423">
      <w:bodyDiv w:val="1"/>
      <w:marLeft w:val="0"/>
      <w:marRight w:val="0"/>
      <w:marTop w:val="0"/>
      <w:marBottom w:val="0"/>
      <w:divBdr>
        <w:top w:val="none" w:sz="0" w:space="0" w:color="auto"/>
        <w:left w:val="none" w:sz="0" w:space="0" w:color="auto"/>
        <w:bottom w:val="none" w:sz="0" w:space="0" w:color="auto"/>
        <w:right w:val="none" w:sz="0" w:space="0" w:color="auto"/>
      </w:divBdr>
    </w:div>
    <w:div w:id="1426464918">
      <w:bodyDiv w:val="1"/>
      <w:marLeft w:val="0"/>
      <w:marRight w:val="0"/>
      <w:marTop w:val="0"/>
      <w:marBottom w:val="0"/>
      <w:divBdr>
        <w:top w:val="none" w:sz="0" w:space="0" w:color="auto"/>
        <w:left w:val="none" w:sz="0" w:space="0" w:color="auto"/>
        <w:bottom w:val="none" w:sz="0" w:space="0" w:color="auto"/>
        <w:right w:val="none" w:sz="0" w:space="0" w:color="auto"/>
      </w:divBdr>
    </w:div>
    <w:div w:id="1503741196">
      <w:bodyDiv w:val="1"/>
      <w:marLeft w:val="0"/>
      <w:marRight w:val="0"/>
      <w:marTop w:val="0"/>
      <w:marBottom w:val="0"/>
      <w:divBdr>
        <w:top w:val="none" w:sz="0" w:space="0" w:color="auto"/>
        <w:left w:val="none" w:sz="0" w:space="0" w:color="auto"/>
        <w:bottom w:val="none" w:sz="0" w:space="0" w:color="auto"/>
        <w:right w:val="none" w:sz="0" w:space="0" w:color="auto"/>
      </w:divBdr>
    </w:div>
    <w:div w:id="1527016437">
      <w:bodyDiv w:val="1"/>
      <w:marLeft w:val="0"/>
      <w:marRight w:val="0"/>
      <w:marTop w:val="0"/>
      <w:marBottom w:val="0"/>
      <w:divBdr>
        <w:top w:val="none" w:sz="0" w:space="0" w:color="auto"/>
        <w:left w:val="none" w:sz="0" w:space="0" w:color="auto"/>
        <w:bottom w:val="none" w:sz="0" w:space="0" w:color="auto"/>
        <w:right w:val="none" w:sz="0" w:space="0" w:color="auto"/>
      </w:divBdr>
    </w:div>
    <w:div w:id="1569726661">
      <w:bodyDiv w:val="1"/>
      <w:marLeft w:val="0"/>
      <w:marRight w:val="0"/>
      <w:marTop w:val="0"/>
      <w:marBottom w:val="0"/>
      <w:divBdr>
        <w:top w:val="none" w:sz="0" w:space="0" w:color="auto"/>
        <w:left w:val="none" w:sz="0" w:space="0" w:color="auto"/>
        <w:bottom w:val="none" w:sz="0" w:space="0" w:color="auto"/>
        <w:right w:val="none" w:sz="0" w:space="0" w:color="auto"/>
      </w:divBdr>
    </w:div>
    <w:div w:id="1587227577">
      <w:bodyDiv w:val="1"/>
      <w:marLeft w:val="0"/>
      <w:marRight w:val="0"/>
      <w:marTop w:val="0"/>
      <w:marBottom w:val="0"/>
      <w:divBdr>
        <w:top w:val="none" w:sz="0" w:space="0" w:color="auto"/>
        <w:left w:val="none" w:sz="0" w:space="0" w:color="auto"/>
        <w:bottom w:val="none" w:sz="0" w:space="0" w:color="auto"/>
        <w:right w:val="none" w:sz="0" w:space="0" w:color="auto"/>
      </w:divBdr>
    </w:div>
    <w:div w:id="1658917157">
      <w:bodyDiv w:val="1"/>
      <w:marLeft w:val="0"/>
      <w:marRight w:val="0"/>
      <w:marTop w:val="0"/>
      <w:marBottom w:val="0"/>
      <w:divBdr>
        <w:top w:val="none" w:sz="0" w:space="0" w:color="auto"/>
        <w:left w:val="none" w:sz="0" w:space="0" w:color="auto"/>
        <w:bottom w:val="none" w:sz="0" w:space="0" w:color="auto"/>
        <w:right w:val="none" w:sz="0" w:space="0" w:color="auto"/>
      </w:divBdr>
    </w:div>
    <w:div w:id="1664503025">
      <w:bodyDiv w:val="1"/>
      <w:marLeft w:val="0"/>
      <w:marRight w:val="0"/>
      <w:marTop w:val="0"/>
      <w:marBottom w:val="0"/>
      <w:divBdr>
        <w:top w:val="none" w:sz="0" w:space="0" w:color="auto"/>
        <w:left w:val="none" w:sz="0" w:space="0" w:color="auto"/>
        <w:bottom w:val="none" w:sz="0" w:space="0" w:color="auto"/>
        <w:right w:val="none" w:sz="0" w:space="0" w:color="auto"/>
      </w:divBdr>
    </w:div>
    <w:div w:id="1678383805">
      <w:bodyDiv w:val="1"/>
      <w:marLeft w:val="0"/>
      <w:marRight w:val="0"/>
      <w:marTop w:val="0"/>
      <w:marBottom w:val="0"/>
      <w:divBdr>
        <w:top w:val="none" w:sz="0" w:space="0" w:color="auto"/>
        <w:left w:val="none" w:sz="0" w:space="0" w:color="auto"/>
        <w:bottom w:val="none" w:sz="0" w:space="0" w:color="auto"/>
        <w:right w:val="none" w:sz="0" w:space="0" w:color="auto"/>
      </w:divBdr>
    </w:div>
    <w:div w:id="1714697375">
      <w:bodyDiv w:val="1"/>
      <w:marLeft w:val="0"/>
      <w:marRight w:val="0"/>
      <w:marTop w:val="0"/>
      <w:marBottom w:val="0"/>
      <w:divBdr>
        <w:top w:val="none" w:sz="0" w:space="0" w:color="auto"/>
        <w:left w:val="none" w:sz="0" w:space="0" w:color="auto"/>
        <w:bottom w:val="none" w:sz="0" w:space="0" w:color="auto"/>
        <w:right w:val="none" w:sz="0" w:space="0" w:color="auto"/>
      </w:divBdr>
    </w:div>
    <w:div w:id="1761683597">
      <w:bodyDiv w:val="1"/>
      <w:marLeft w:val="0"/>
      <w:marRight w:val="0"/>
      <w:marTop w:val="0"/>
      <w:marBottom w:val="0"/>
      <w:divBdr>
        <w:top w:val="none" w:sz="0" w:space="0" w:color="auto"/>
        <w:left w:val="none" w:sz="0" w:space="0" w:color="auto"/>
        <w:bottom w:val="none" w:sz="0" w:space="0" w:color="auto"/>
        <w:right w:val="none" w:sz="0" w:space="0" w:color="auto"/>
      </w:divBdr>
    </w:div>
    <w:div w:id="1776946239">
      <w:bodyDiv w:val="1"/>
      <w:marLeft w:val="0"/>
      <w:marRight w:val="0"/>
      <w:marTop w:val="0"/>
      <w:marBottom w:val="0"/>
      <w:divBdr>
        <w:top w:val="none" w:sz="0" w:space="0" w:color="auto"/>
        <w:left w:val="none" w:sz="0" w:space="0" w:color="auto"/>
        <w:bottom w:val="none" w:sz="0" w:space="0" w:color="auto"/>
        <w:right w:val="none" w:sz="0" w:space="0" w:color="auto"/>
      </w:divBdr>
    </w:div>
    <w:div w:id="1828520100">
      <w:bodyDiv w:val="1"/>
      <w:marLeft w:val="0"/>
      <w:marRight w:val="0"/>
      <w:marTop w:val="0"/>
      <w:marBottom w:val="0"/>
      <w:divBdr>
        <w:top w:val="none" w:sz="0" w:space="0" w:color="auto"/>
        <w:left w:val="none" w:sz="0" w:space="0" w:color="auto"/>
        <w:bottom w:val="none" w:sz="0" w:space="0" w:color="auto"/>
        <w:right w:val="none" w:sz="0" w:space="0" w:color="auto"/>
      </w:divBdr>
    </w:div>
    <w:div w:id="1856459456">
      <w:bodyDiv w:val="1"/>
      <w:marLeft w:val="0"/>
      <w:marRight w:val="0"/>
      <w:marTop w:val="0"/>
      <w:marBottom w:val="0"/>
      <w:divBdr>
        <w:top w:val="none" w:sz="0" w:space="0" w:color="auto"/>
        <w:left w:val="none" w:sz="0" w:space="0" w:color="auto"/>
        <w:bottom w:val="none" w:sz="0" w:space="0" w:color="auto"/>
        <w:right w:val="none" w:sz="0" w:space="0" w:color="auto"/>
      </w:divBdr>
    </w:div>
    <w:div w:id="1907758061">
      <w:bodyDiv w:val="1"/>
      <w:marLeft w:val="0"/>
      <w:marRight w:val="0"/>
      <w:marTop w:val="0"/>
      <w:marBottom w:val="0"/>
      <w:divBdr>
        <w:top w:val="none" w:sz="0" w:space="0" w:color="auto"/>
        <w:left w:val="none" w:sz="0" w:space="0" w:color="auto"/>
        <w:bottom w:val="none" w:sz="0" w:space="0" w:color="auto"/>
        <w:right w:val="none" w:sz="0" w:space="0" w:color="auto"/>
      </w:divBdr>
    </w:div>
    <w:div w:id="1920795211">
      <w:bodyDiv w:val="1"/>
      <w:marLeft w:val="0"/>
      <w:marRight w:val="0"/>
      <w:marTop w:val="0"/>
      <w:marBottom w:val="0"/>
      <w:divBdr>
        <w:top w:val="none" w:sz="0" w:space="0" w:color="auto"/>
        <w:left w:val="none" w:sz="0" w:space="0" w:color="auto"/>
        <w:bottom w:val="none" w:sz="0" w:space="0" w:color="auto"/>
        <w:right w:val="none" w:sz="0" w:space="0" w:color="auto"/>
      </w:divBdr>
    </w:div>
    <w:div w:id="1937519220">
      <w:bodyDiv w:val="1"/>
      <w:marLeft w:val="0"/>
      <w:marRight w:val="0"/>
      <w:marTop w:val="0"/>
      <w:marBottom w:val="0"/>
      <w:divBdr>
        <w:top w:val="none" w:sz="0" w:space="0" w:color="auto"/>
        <w:left w:val="none" w:sz="0" w:space="0" w:color="auto"/>
        <w:bottom w:val="none" w:sz="0" w:space="0" w:color="auto"/>
        <w:right w:val="none" w:sz="0" w:space="0" w:color="auto"/>
      </w:divBdr>
    </w:div>
    <w:div w:id="1999264615">
      <w:bodyDiv w:val="1"/>
      <w:marLeft w:val="0"/>
      <w:marRight w:val="0"/>
      <w:marTop w:val="0"/>
      <w:marBottom w:val="0"/>
      <w:divBdr>
        <w:top w:val="none" w:sz="0" w:space="0" w:color="auto"/>
        <w:left w:val="none" w:sz="0" w:space="0" w:color="auto"/>
        <w:bottom w:val="none" w:sz="0" w:space="0" w:color="auto"/>
        <w:right w:val="none" w:sz="0" w:space="0" w:color="auto"/>
      </w:divBdr>
    </w:div>
    <w:div w:id="2043095717">
      <w:bodyDiv w:val="1"/>
      <w:marLeft w:val="0"/>
      <w:marRight w:val="0"/>
      <w:marTop w:val="0"/>
      <w:marBottom w:val="0"/>
      <w:divBdr>
        <w:top w:val="none" w:sz="0" w:space="0" w:color="auto"/>
        <w:left w:val="none" w:sz="0" w:space="0" w:color="auto"/>
        <w:bottom w:val="none" w:sz="0" w:space="0" w:color="auto"/>
        <w:right w:val="none" w:sz="0" w:space="0" w:color="auto"/>
      </w:divBdr>
    </w:div>
    <w:div w:id="2047824876">
      <w:bodyDiv w:val="1"/>
      <w:marLeft w:val="0"/>
      <w:marRight w:val="0"/>
      <w:marTop w:val="0"/>
      <w:marBottom w:val="0"/>
      <w:divBdr>
        <w:top w:val="none" w:sz="0" w:space="0" w:color="auto"/>
        <w:left w:val="none" w:sz="0" w:space="0" w:color="auto"/>
        <w:bottom w:val="none" w:sz="0" w:space="0" w:color="auto"/>
        <w:right w:val="none" w:sz="0" w:space="0" w:color="auto"/>
      </w:divBdr>
    </w:div>
    <w:div w:id="2079399653">
      <w:bodyDiv w:val="1"/>
      <w:marLeft w:val="0"/>
      <w:marRight w:val="0"/>
      <w:marTop w:val="0"/>
      <w:marBottom w:val="0"/>
      <w:divBdr>
        <w:top w:val="none" w:sz="0" w:space="0" w:color="auto"/>
        <w:left w:val="none" w:sz="0" w:space="0" w:color="auto"/>
        <w:bottom w:val="none" w:sz="0" w:space="0" w:color="auto"/>
        <w:right w:val="none" w:sz="0" w:space="0" w:color="auto"/>
      </w:divBdr>
    </w:div>
    <w:div w:id="2084719746">
      <w:bodyDiv w:val="1"/>
      <w:marLeft w:val="0"/>
      <w:marRight w:val="0"/>
      <w:marTop w:val="0"/>
      <w:marBottom w:val="0"/>
      <w:divBdr>
        <w:top w:val="none" w:sz="0" w:space="0" w:color="auto"/>
        <w:left w:val="none" w:sz="0" w:space="0" w:color="auto"/>
        <w:bottom w:val="none" w:sz="0" w:space="0" w:color="auto"/>
        <w:right w:val="none" w:sz="0" w:space="0" w:color="auto"/>
      </w:divBdr>
    </w:div>
    <w:div w:id="2104449212">
      <w:bodyDiv w:val="1"/>
      <w:marLeft w:val="0"/>
      <w:marRight w:val="0"/>
      <w:marTop w:val="0"/>
      <w:marBottom w:val="0"/>
      <w:divBdr>
        <w:top w:val="none" w:sz="0" w:space="0" w:color="auto"/>
        <w:left w:val="none" w:sz="0" w:space="0" w:color="auto"/>
        <w:bottom w:val="none" w:sz="0" w:space="0" w:color="auto"/>
        <w:right w:val="none" w:sz="0" w:space="0" w:color="auto"/>
      </w:divBdr>
    </w:div>
    <w:div w:id="2123844097">
      <w:bodyDiv w:val="1"/>
      <w:marLeft w:val="0"/>
      <w:marRight w:val="0"/>
      <w:marTop w:val="0"/>
      <w:marBottom w:val="0"/>
      <w:divBdr>
        <w:top w:val="none" w:sz="0" w:space="0" w:color="auto"/>
        <w:left w:val="none" w:sz="0" w:space="0" w:color="auto"/>
        <w:bottom w:val="none" w:sz="0" w:space="0" w:color="auto"/>
        <w:right w:val="none" w:sz="0" w:space="0" w:color="auto"/>
      </w:divBdr>
    </w:div>
    <w:div w:id="21358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METPWS</dc:creator>
  <cp:keywords/>
  <dc:description/>
  <cp:lastModifiedBy>5565</cp:lastModifiedBy>
  <cp:revision>14</cp:revision>
  <dcterms:created xsi:type="dcterms:W3CDTF">2025-03-31T10:02:00Z</dcterms:created>
  <dcterms:modified xsi:type="dcterms:W3CDTF">2025-03-31T10:16:00Z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-1099350542</vt:i4>
  </property>
</Properties>
</file>